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5000" w:type="pct"/>
        <w:tblCellMar>
          <w:top w:w="17" w:type="dxa"/>
          <w:left w:w="17" w:type="dxa"/>
          <w:bottom w:w="17" w:type="dxa"/>
          <w:right w:w="17" w:type="dxa"/>
        </w:tblCellMar>
        <w:tblLook w:val="0000" w:firstRow="0" w:lastRow="0" w:firstColumn="0" w:lastColumn="0" w:noHBand="0" w:noVBand="0"/>
      </w:tblPr>
      <w:tblGrid>
        <w:gridCol w:w="5685"/>
        <w:gridCol w:w="4321"/>
      </w:tblGrid>
      <w:tr w:rsidR="004577D8" w:rsidRPr="00B45667" w14:paraId="1F0D1090" w14:textId="77777777" w:rsidTr="00722C17">
        <w:trPr>
          <w:trHeight w:val="374"/>
        </w:trPr>
        <w:tc>
          <w:tcPr>
            <w:tcW w:w="2841" w:type="pct"/>
            <w:shd w:val="clear" w:color="auto" w:fill="7FBE77"/>
            <w:vAlign w:val="center"/>
          </w:tcPr>
          <w:p w14:paraId="1F0D108E" w14:textId="77777777" w:rsidR="004577D8" w:rsidRPr="00B45667" w:rsidRDefault="00722C17" w:rsidP="00722C17">
            <w:pPr>
              <w:pStyle w:val="a4"/>
              <w:shd w:val="clear" w:color="auto" w:fill="7FBE77"/>
              <w:tabs>
                <w:tab w:val="left" w:leader="underscore" w:pos="5381"/>
              </w:tabs>
              <w:spacing w:line="240" w:lineRule="auto"/>
              <w:ind w:left="57" w:right="57"/>
              <w:rPr>
                <w:rFonts w:cs="Times New Roman"/>
                <w:sz w:val="26"/>
                <w:szCs w:val="26"/>
              </w:rPr>
            </w:pPr>
            <w:bookmarkStart w:id="0" w:name="_GoBack"/>
            <w:bookmarkEnd w:id="0"/>
            <w:r w:rsidRPr="00B45667">
              <w:rPr>
                <w:rFonts w:eastAsia="Calibri" w:cs="Times New Roman"/>
                <w:b/>
                <w:color w:val="FFFFFF"/>
                <w:sz w:val="26"/>
                <w:szCs w:val="26"/>
                <w:lang w:bidi="ru-RU"/>
              </w:rPr>
              <w:t>ОБЗОР</w:t>
            </w:r>
          </w:p>
        </w:tc>
        <w:tc>
          <w:tcPr>
            <w:tcW w:w="2159" w:type="pct"/>
            <w:shd w:val="clear" w:color="auto" w:fill="7FBE77"/>
            <w:vAlign w:val="center"/>
          </w:tcPr>
          <w:p w14:paraId="1F0D108F" w14:textId="77777777" w:rsidR="004577D8" w:rsidRPr="00B45667" w:rsidRDefault="00722C17" w:rsidP="00722C17">
            <w:pPr>
              <w:pStyle w:val="a4"/>
              <w:shd w:val="clear" w:color="auto" w:fill="7FBE77"/>
              <w:tabs>
                <w:tab w:val="left" w:leader="underscore" w:pos="2626"/>
              </w:tabs>
              <w:spacing w:line="240" w:lineRule="auto"/>
              <w:ind w:left="57" w:right="57"/>
              <w:jc w:val="right"/>
              <w:rPr>
                <w:rFonts w:cs="Times New Roman"/>
                <w:sz w:val="26"/>
                <w:szCs w:val="26"/>
              </w:rPr>
            </w:pPr>
            <w:r w:rsidRPr="00B45667">
              <w:rPr>
                <w:rFonts w:eastAsia="Calibri" w:cs="Times New Roman"/>
                <w:b/>
                <w:color w:val="FFFFFF"/>
                <w:sz w:val="26"/>
                <w:szCs w:val="26"/>
                <w:lang w:bidi="ru-RU"/>
              </w:rPr>
              <w:t>Открытый доступ</w:t>
            </w:r>
          </w:p>
        </w:tc>
      </w:tr>
    </w:tbl>
    <w:p w14:paraId="1F0D1091" w14:textId="77777777" w:rsidR="00722C17" w:rsidRPr="00B45667" w:rsidRDefault="00722C17">
      <w:pPr>
        <w:rPr>
          <w:rFonts w:cs="Times New Roman"/>
        </w:rPr>
      </w:pPr>
    </w:p>
    <w:tbl>
      <w:tblPr>
        <w:tblOverlap w:val="never"/>
        <w:tblW w:w="5000" w:type="pct"/>
        <w:tblCellMar>
          <w:top w:w="17" w:type="dxa"/>
          <w:left w:w="17" w:type="dxa"/>
          <w:bottom w:w="17" w:type="dxa"/>
          <w:right w:w="17" w:type="dxa"/>
        </w:tblCellMar>
        <w:tblLook w:val="0000" w:firstRow="0" w:lastRow="0" w:firstColumn="0" w:lastColumn="0" w:noHBand="0" w:noVBand="0"/>
      </w:tblPr>
      <w:tblGrid>
        <w:gridCol w:w="8797"/>
        <w:gridCol w:w="1209"/>
      </w:tblGrid>
      <w:tr w:rsidR="004577D8" w:rsidRPr="00B45667" w14:paraId="1F0D1094" w14:textId="77777777" w:rsidTr="00722C17">
        <w:trPr>
          <w:trHeight w:val="20"/>
        </w:trPr>
        <w:tc>
          <w:tcPr>
            <w:tcW w:w="4396" w:type="pct"/>
            <w:vMerge w:val="restart"/>
            <w:shd w:val="clear" w:color="auto" w:fill="FFFFFF"/>
          </w:tcPr>
          <w:p w14:paraId="1F0D1092" w14:textId="77777777" w:rsidR="004577D8" w:rsidRPr="00550545" w:rsidRDefault="00722C17" w:rsidP="00722C17">
            <w:pPr>
              <w:pStyle w:val="a4"/>
              <w:shd w:val="clear" w:color="auto" w:fill="auto"/>
              <w:spacing w:line="240" w:lineRule="auto"/>
              <w:rPr>
                <w:rFonts w:cs="Times New Roman"/>
                <w:b/>
                <w:bCs/>
                <w:sz w:val="44"/>
                <w:szCs w:val="44"/>
              </w:rPr>
            </w:pPr>
            <w:r w:rsidRPr="00550545">
              <w:rPr>
                <w:rFonts w:eastAsia="Segoe UI" w:cs="Times New Roman"/>
                <w:b/>
                <w:bCs/>
                <w:color w:val="131413"/>
                <w:sz w:val="44"/>
                <w:szCs w:val="44"/>
                <w:lang w:bidi="ru-RU"/>
              </w:rPr>
              <w:t xml:space="preserve">Концентрация магния в крови и </w:t>
            </w:r>
            <w:r w:rsidRPr="00550545">
              <w:rPr>
                <w:rFonts w:eastAsia="Segoe UI" w:cs="Times New Roman"/>
                <w:b/>
                <w:bCs/>
                <w:color w:val="131413"/>
                <w:sz w:val="44"/>
                <w:szCs w:val="44"/>
                <w:lang w:bidi="ru-RU"/>
              </w:rPr>
              <w:br/>
              <w:t xml:space="preserve">частота ишемической болезни сердца, артериальной гипертензии и сахарного диабета 2 типа: </w:t>
            </w:r>
            <w:r w:rsidRPr="00550545">
              <w:rPr>
                <w:rFonts w:eastAsia="Segoe UI" w:cs="Times New Roman"/>
                <w:b/>
                <w:bCs/>
                <w:color w:val="131413"/>
                <w:sz w:val="44"/>
                <w:szCs w:val="44"/>
                <w:lang w:bidi="ru-RU"/>
              </w:rPr>
              <w:br/>
              <w:t xml:space="preserve">метаанализ проспективных когортных </w:t>
            </w:r>
            <w:r w:rsidRPr="00550545">
              <w:rPr>
                <w:rFonts w:eastAsia="Segoe UI" w:cs="Times New Roman"/>
                <w:b/>
                <w:bCs/>
                <w:color w:val="131413"/>
                <w:sz w:val="44"/>
                <w:szCs w:val="44"/>
                <w:lang w:bidi="ru-RU"/>
              </w:rPr>
              <w:br/>
              <w:t>исследований</w:t>
            </w:r>
          </w:p>
        </w:tc>
        <w:tc>
          <w:tcPr>
            <w:tcW w:w="604" w:type="pct"/>
            <w:shd w:val="clear" w:color="auto" w:fill="FFFFFF"/>
          </w:tcPr>
          <w:p w14:paraId="1F0D1093" w14:textId="77777777" w:rsidR="004577D8" w:rsidRPr="00B45667" w:rsidRDefault="00722C17" w:rsidP="00722C17">
            <w:pPr>
              <w:rPr>
                <w:rFonts w:cs="Times New Roman"/>
                <w:sz w:val="2"/>
                <w:szCs w:val="2"/>
              </w:rPr>
            </w:pPr>
            <w:r w:rsidRPr="00B45667">
              <w:rPr>
                <w:rFonts w:cs="Times New Roman"/>
                <w:noProof/>
                <w:lang w:eastAsia="ru-RU" w:bidi="ar-SA"/>
              </w:rPr>
              <w:drawing>
                <wp:inline distT="0" distB="0" distL="0" distR="0" wp14:anchorId="1F0D13BF" wp14:editId="1F0D13C0">
                  <wp:extent cx="743585" cy="33528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743585" cy="335280"/>
                          </a:xfrm>
                          <a:prstGeom prst="rect">
                            <a:avLst/>
                          </a:prstGeom>
                        </pic:spPr>
                      </pic:pic>
                    </a:graphicData>
                  </a:graphic>
                </wp:inline>
              </w:drawing>
            </w:r>
          </w:p>
        </w:tc>
      </w:tr>
      <w:tr w:rsidR="004577D8" w:rsidRPr="00B45667" w14:paraId="1F0D1097" w14:textId="77777777" w:rsidTr="00722C17">
        <w:trPr>
          <w:trHeight w:val="20"/>
        </w:trPr>
        <w:tc>
          <w:tcPr>
            <w:tcW w:w="4396" w:type="pct"/>
            <w:vMerge/>
            <w:shd w:val="clear" w:color="auto" w:fill="FFFFFF"/>
          </w:tcPr>
          <w:p w14:paraId="1F0D1095" w14:textId="77777777" w:rsidR="004577D8" w:rsidRPr="00B45667" w:rsidRDefault="004577D8" w:rsidP="00722C17">
            <w:pPr>
              <w:rPr>
                <w:rFonts w:cs="Times New Roman"/>
              </w:rPr>
            </w:pPr>
          </w:p>
        </w:tc>
        <w:tc>
          <w:tcPr>
            <w:tcW w:w="604" w:type="pct"/>
            <w:shd w:val="clear" w:color="auto" w:fill="FFFFFF"/>
          </w:tcPr>
          <w:p w14:paraId="1F0D1096" w14:textId="77777777" w:rsidR="004577D8" w:rsidRPr="00B45667" w:rsidRDefault="004577D8" w:rsidP="00722C17">
            <w:pPr>
              <w:rPr>
                <w:rFonts w:cs="Times New Roman"/>
                <w:sz w:val="10"/>
                <w:szCs w:val="10"/>
              </w:rPr>
            </w:pPr>
          </w:p>
        </w:tc>
      </w:tr>
    </w:tbl>
    <w:p w14:paraId="1F0D1098" w14:textId="77777777" w:rsidR="00722C17" w:rsidRPr="00B45667" w:rsidRDefault="00722C17">
      <w:pPr>
        <w:pStyle w:val="a6"/>
        <w:shd w:val="clear" w:color="auto" w:fill="auto"/>
        <w:rPr>
          <w:rFonts w:ascii="Times New Roman" w:hAnsi="Times New Roman" w:cs="Times New Roman"/>
          <w:color w:val="131413"/>
          <w:sz w:val="18"/>
          <w:szCs w:val="18"/>
        </w:rPr>
      </w:pPr>
    </w:p>
    <w:p w14:paraId="1F0D1099" w14:textId="4D7F2206" w:rsidR="004577D8" w:rsidRPr="00B45667" w:rsidRDefault="00D73B96">
      <w:pPr>
        <w:pStyle w:val="a6"/>
        <w:shd w:val="clear" w:color="auto" w:fill="auto"/>
        <w:rPr>
          <w:rFonts w:ascii="Times New Roman" w:hAnsi="Times New Roman" w:cs="Times New Roman"/>
          <w:color w:val="131413"/>
          <w:sz w:val="18"/>
          <w:szCs w:val="18"/>
        </w:rPr>
      </w:pPr>
      <w:r w:rsidRPr="00D73B96">
        <w:rPr>
          <w:rStyle w:val="af7"/>
          <w:rFonts w:ascii="Times New Roman" w:hAnsi="Times New Roman" w:cs="Times New Roman"/>
          <w:vanish/>
          <w:color w:val="131413"/>
          <w:sz w:val="18"/>
          <w:szCs w:val="18"/>
          <w:lang w:bidi="ru-RU"/>
        </w:rPr>
        <w:footnoteReference w:id="1"/>
      </w:r>
      <w:r w:rsidR="00722C17" w:rsidRPr="00B45667">
        <w:rPr>
          <w:rFonts w:ascii="Times New Roman" w:hAnsi="Times New Roman" w:cs="Times New Roman"/>
          <w:color w:val="131413"/>
          <w:sz w:val="18"/>
          <w:szCs w:val="18"/>
          <w:lang w:bidi="ru-RU"/>
        </w:rPr>
        <w:t>Цзян Ву (Jiang Wu)</w:t>
      </w:r>
      <w:r w:rsidR="00722C17" w:rsidRPr="00B45667">
        <w:rPr>
          <w:rFonts w:ascii="Times New Roman" w:hAnsi="Times New Roman" w:cs="Times New Roman"/>
          <w:color w:val="131413"/>
          <w:sz w:val="18"/>
          <w:szCs w:val="18"/>
          <w:vertAlign w:val="superscript"/>
          <w:lang w:bidi="ru-RU"/>
        </w:rPr>
        <w:t>1,2,3</w:t>
      </w:r>
      <w:r w:rsidR="00722C17" w:rsidRPr="00B45667">
        <w:rPr>
          <w:rFonts w:ascii="Times New Roman" w:eastAsia="Lucida Sans Unicode" w:hAnsi="Times New Roman" w:cs="Times New Roman"/>
          <w:color w:val="131413"/>
          <w:sz w:val="18"/>
          <w:szCs w:val="18"/>
          <w:vertAlign w:val="superscript"/>
          <w:lang w:bidi="ru-RU"/>
        </w:rPr>
        <w:t>†</w:t>
      </w:r>
      <w:r w:rsidR="00722C17" w:rsidRPr="00B45667">
        <w:rPr>
          <w:rFonts w:ascii="Times New Roman" w:hAnsi="Times New Roman" w:cs="Times New Roman"/>
          <w:color w:val="131413"/>
          <w:sz w:val="18"/>
          <w:szCs w:val="18"/>
          <w:lang w:bidi="ru-RU"/>
        </w:rPr>
        <w:t>, Пэнчэн Сюнь (Pengcheng Xun)</w:t>
      </w:r>
      <w:r w:rsidR="00722C17" w:rsidRPr="00B45667">
        <w:rPr>
          <w:rFonts w:ascii="Times New Roman" w:hAnsi="Times New Roman" w:cs="Times New Roman"/>
          <w:color w:val="131413"/>
          <w:sz w:val="18"/>
          <w:szCs w:val="18"/>
          <w:vertAlign w:val="superscript"/>
          <w:lang w:bidi="ru-RU"/>
        </w:rPr>
        <w:t>4</w:t>
      </w:r>
      <w:r w:rsidR="00722C17" w:rsidRPr="00B45667">
        <w:rPr>
          <w:rFonts w:ascii="Times New Roman" w:eastAsia="Lucida Sans Unicode" w:hAnsi="Times New Roman" w:cs="Times New Roman"/>
          <w:color w:val="131413"/>
          <w:sz w:val="18"/>
          <w:szCs w:val="18"/>
          <w:vertAlign w:val="superscript"/>
          <w:lang w:bidi="ru-RU"/>
        </w:rPr>
        <w:t>†</w:t>
      </w:r>
      <w:r w:rsidR="00722C17" w:rsidRPr="00B45667">
        <w:rPr>
          <w:rFonts w:ascii="Times New Roman" w:hAnsi="Times New Roman" w:cs="Times New Roman"/>
          <w:color w:val="131413"/>
          <w:sz w:val="18"/>
          <w:szCs w:val="18"/>
          <w:lang w:bidi="ru-RU"/>
        </w:rPr>
        <w:t>, Цинья Тан (Qingya Tang)</w:t>
      </w:r>
      <w:r w:rsidR="00722C17" w:rsidRPr="00B45667">
        <w:rPr>
          <w:rFonts w:ascii="Times New Roman" w:hAnsi="Times New Roman" w:cs="Times New Roman"/>
          <w:color w:val="131413"/>
          <w:sz w:val="18"/>
          <w:szCs w:val="18"/>
          <w:vertAlign w:val="superscript"/>
          <w:lang w:bidi="ru-RU"/>
        </w:rPr>
        <w:t>1,2,3</w:t>
      </w:r>
      <w:r w:rsidR="00722C17" w:rsidRPr="00B45667">
        <w:rPr>
          <w:rFonts w:ascii="Times New Roman" w:hAnsi="Times New Roman" w:cs="Times New Roman"/>
          <w:color w:val="131413"/>
          <w:sz w:val="18"/>
          <w:szCs w:val="18"/>
          <w:lang w:bidi="ru-RU"/>
        </w:rPr>
        <w:t>, Вэй Кай (Wei Cai)</w:t>
      </w:r>
      <w:r w:rsidR="00722C17" w:rsidRPr="00B45667">
        <w:rPr>
          <w:rFonts w:ascii="Times New Roman" w:hAnsi="Times New Roman" w:cs="Times New Roman"/>
          <w:color w:val="131413"/>
          <w:sz w:val="18"/>
          <w:szCs w:val="18"/>
          <w:vertAlign w:val="superscript"/>
          <w:lang w:bidi="ru-RU"/>
        </w:rPr>
        <w:t>1,2,3,5</w:t>
      </w:r>
      <w:r w:rsidR="00722C17" w:rsidRPr="00B45667">
        <w:rPr>
          <w:rFonts w:ascii="Times New Roman" w:hAnsi="Times New Roman" w:cs="Times New Roman"/>
          <w:color w:val="131413"/>
          <w:sz w:val="18"/>
          <w:szCs w:val="18"/>
          <w:lang w:bidi="ru-RU"/>
        </w:rPr>
        <w:t>* и Ка Хе (Ka He)</w:t>
      </w:r>
      <w:r w:rsidR="00722C17" w:rsidRPr="00B45667">
        <w:rPr>
          <w:rFonts w:ascii="Times New Roman" w:hAnsi="Times New Roman" w:cs="Times New Roman"/>
          <w:color w:val="131413"/>
          <w:sz w:val="18"/>
          <w:szCs w:val="18"/>
          <w:vertAlign w:val="superscript"/>
          <w:lang w:bidi="ru-RU"/>
        </w:rPr>
        <w:t>4</w:t>
      </w:r>
      <w:r w:rsidR="00722C17" w:rsidRPr="00B45667">
        <w:rPr>
          <w:rFonts w:ascii="Times New Roman" w:hAnsi="Times New Roman" w:cs="Times New Roman"/>
          <w:color w:val="131413"/>
          <w:sz w:val="18"/>
          <w:szCs w:val="18"/>
          <w:lang w:bidi="ru-RU"/>
        </w:rPr>
        <w:t>*</w:t>
      </w:r>
    </w:p>
    <w:p w14:paraId="1F0D109A" w14:textId="77777777" w:rsidR="00722C17" w:rsidRPr="00B45667" w:rsidRDefault="00722C17">
      <w:pPr>
        <w:pStyle w:val="a6"/>
        <w:shd w:val="clear" w:color="auto" w:fill="auto"/>
        <w:rPr>
          <w:rFonts w:ascii="Times New Roman" w:hAnsi="Times New Roman" w:cs="Times New Roman"/>
          <w:sz w:val="14"/>
          <w:szCs w:val="14"/>
        </w:rPr>
      </w:pPr>
    </w:p>
    <w:p w14:paraId="1F0D109B" w14:textId="77777777" w:rsidR="00722C17" w:rsidRPr="00B45667" w:rsidRDefault="00722C17">
      <w:pPr>
        <w:pStyle w:val="a6"/>
        <w:shd w:val="clear" w:color="auto" w:fill="auto"/>
        <w:rPr>
          <w:rFonts w:ascii="Times New Roman" w:hAnsi="Times New Roman" w:cs="Times New Roman"/>
          <w:sz w:val="14"/>
          <w:szCs w:val="14"/>
        </w:rPr>
      </w:pPr>
    </w:p>
    <w:tbl>
      <w:tblPr>
        <w:tblOverlap w:val="never"/>
        <w:tblW w:w="5000" w:type="pct"/>
        <w:tblBorders>
          <w:top w:val="single" w:sz="12" w:space="0" w:color="7FBE77"/>
          <w:left w:val="single" w:sz="12" w:space="0" w:color="7FBE77"/>
          <w:bottom w:val="single" w:sz="12" w:space="0" w:color="7FBE77"/>
          <w:right w:val="single" w:sz="12" w:space="0" w:color="7FBE77"/>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0086"/>
      </w:tblGrid>
      <w:tr w:rsidR="004577D8" w:rsidRPr="00B45667" w14:paraId="1F0D10A2" w14:textId="77777777" w:rsidTr="00722C17">
        <w:trPr>
          <w:trHeight w:val="4890"/>
        </w:trPr>
        <w:tc>
          <w:tcPr>
            <w:tcW w:w="5000" w:type="pct"/>
            <w:shd w:val="clear" w:color="auto" w:fill="FFFFFF"/>
          </w:tcPr>
          <w:p w14:paraId="1F0D109C" w14:textId="77777777" w:rsidR="004577D8" w:rsidRPr="00511EB2" w:rsidRDefault="00722C17" w:rsidP="00511EB2">
            <w:pPr>
              <w:pStyle w:val="a4"/>
              <w:shd w:val="clear" w:color="auto" w:fill="auto"/>
              <w:spacing w:after="80" w:line="240" w:lineRule="auto"/>
              <w:ind w:left="57" w:right="57"/>
              <w:jc w:val="both"/>
              <w:rPr>
                <w:rFonts w:cs="Times New Roman"/>
                <w:sz w:val="20"/>
                <w:szCs w:val="20"/>
              </w:rPr>
            </w:pPr>
            <w:bookmarkStart w:id="1" w:name="bookmark0"/>
            <w:r w:rsidRPr="00511EB2">
              <w:rPr>
                <w:rFonts w:eastAsia="Calibri" w:cs="Times New Roman"/>
                <w:b/>
                <w:color w:val="131413"/>
                <w:sz w:val="20"/>
                <w:szCs w:val="20"/>
                <w:lang w:bidi="ru-RU"/>
              </w:rPr>
              <w:t>Аннотация</w:t>
            </w:r>
            <w:bookmarkEnd w:id="1"/>
          </w:p>
          <w:p w14:paraId="1F0D109D" w14:textId="77777777" w:rsidR="004577D8" w:rsidRPr="00511EB2" w:rsidRDefault="00722C17" w:rsidP="00511EB2">
            <w:pPr>
              <w:pStyle w:val="a4"/>
              <w:shd w:val="clear" w:color="auto" w:fill="auto"/>
              <w:spacing w:after="80" w:line="240" w:lineRule="auto"/>
              <w:ind w:left="57" w:right="57"/>
              <w:jc w:val="both"/>
              <w:rPr>
                <w:rFonts w:cs="Times New Roman"/>
                <w:sz w:val="20"/>
                <w:szCs w:val="20"/>
              </w:rPr>
            </w:pPr>
            <w:r w:rsidRPr="00511EB2">
              <w:rPr>
                <w:rFonts w:eastAsia="Segoe UI" w:cs="Times New Roman"/>
                <w:b/>
                <w:color w:val="131413"/>
                <w:sz w:val="20"/>
                <w:szCs w:val="20"/>
                <w:lang w:bidi="ru-RU"/>
              </w:rPr>
              <w:t xml:space="preserve">Обоснование: </w:t>
            </w:r>
            <w:r w:rsidRPr="00511EB2">
              <w:rPr>
                <w:rFonts w:eastAsia="Segoe UI" w:cs="Times New Roman"/>
                <w:color w:val="131413"/>
                <w:sz w:val="20"/>
                <w:szCs w:val="20"/>
                <w:lang w:bidi="ru-RU"/>
              </w:rPr>
              <w:t>Данные о зависимости между концентрацией магния (Mg) в крови и частотой ишемической болезни сердца (ИБС), артериальной гипертензии (АГ) и сахарного диабета (СД) 2 типа противоречивы и не позволяют сделать окончательные выводы. Целью настоящего исследования было изучить связь между концентрацией Mg в крови и частотой ИБС, АГ и СД 2 типа.</w:t>
            </w:r>
          </w:p>
          <w:p w14:paraId="1F0D109E" w14:textId="77777777" w:rsidR="004577D8" w:rsidRPr="00511EB2" w:rsidRDefault="00722C17" w:rsidP="00511EB2">
            <w:pPr>
              <w:pStyle w:val="a4"/>
              <w:shd w:val="clear" w:color="auto" w:fill="auto"/>
              <w:spacing w:after="80" w:line="240" w:lineRule="auto"/>
              <w:ind w:left="57" w:right="57"/>
              <w:jc w:val="both"/>
              <w:rPr>
                <w:rFonts w:cs="Times New Roman"/>
                <w:sz w:val="20"/>
                <w:szCs w:val="20"/>
              </w:rPr>
            </w:pPr>
            <w:bookmarkStart w:id="2" w:name="bookmark2"/>
            <w:r w:rsidRPr="00511EB2">
              <w:rPr>
                <w:rFonts w:eastAsia="Segoe UI" w:cs="Times New Roman"/>
                <w:b/>
                <w:color w:val="131413"/>
                <w:sz w:val="20"/>
                <w:szCs w:val="20"/>
                <w:lang w:bidi="ru-RU"/>
              </w:rPr>
              <w:t xml:space="preserve">Методы: </w:t>
            </w:r>
            <w:r w:rsidRPr="00511EB2">
              <w:rPr>
                <w:rFonts w:eastAsia="Segoe UI" w:cs="Times New Roman"/>
                <w:color w:val="131413"/>
                <w:sz w:val="20"/>
                <w:szCs w:val="20"/>
                <w:lang w:bidi="ru-RU"/>
              </w:rPr>
              <w:t>Поиск проспективных когортных исследований, опубликованных до мая 2017 г., осуществлялся в базах данных PubMed, EmBase, SCOPUS и Google Scholar. Было найдено 11 исследований, в которых описывались интересующие нас зависимости с поправками на множественные переменные. Были извлечены и проанализированы данные о характеристиках исследования и участников, воздействии, основных исходах, оценках риска и искажающих факторах.</w:t>
            </w:r>
            <w:bookmarkEnd w:id="2"/>
          </w:p>
          <w:p w14:paraId="1F0D109F" w14:textId="0E45C7DC" w:rsidR="004577D8" w:rsidRPr="00511EB2" w:rsidRDefault="00722C17" w:rsidP="00511EB2">
            <w:pPr>
              <w:pStyle w:val="a4"/>
              <w:shd w:val="clear" w:color="auto" w:fill="auto"/>
              <w:spacing w:after="80" w:line="240" w:lineRule="auto"/>
              <w:ind w:left="57" w:right="57"/>
              <w:jc w:val="both"/>
              <w:rPr>
                <w:rFonts w:cs="Times New Roman"/>
                <w:sz w:val="20"/>
                <w:szCs w:val="20"/>
              </w:rPr>
            </w:pPr>
            <w:bookmarkStart w:id="3" w:name="bookmark3"/>
            <w:r w:rsidRPr="00511EB2">
              <w:rPr>
                <w:rFonts w:eastAsia="Segoe UI" w:cs="Times New Roman"/>
                <w:b/>
                <w:color w:val="131413"/>
                <w:sz w:val="20"/>
                <w:szCs w:val="20"/>
                <w:lang w:bidi="ru-RU"/>
              </w:rPr>
              <w:t xml:space="preserve">Результаты: </w:t>
            </w:r>
            <w:r w:rsidRPr="00511EB2">
              <w:rPr>
                <w:rFonts w:eastAsia="Segoe UI" w:cs="Times New Roman"/>
                <w:color w:val="131413"/>
                <w:sz w:val="20"/>
                <w:szCs w:val="20"/>
                <w:lang w:bidi="ru-RU"/>
              </w:rPr>
              <w:t>В 5 из 11 исследований, включенных в анализ, рассматривались результаты по ИБС (38 808 участников [4437 случаев], средний период наблюдения 10,5 года), в 3 ― по АГ (14 876 участников [3149 случаев], период наблюдения 6,7 года) и в 4 ― по СД 2 типа (31 284 участника [2680 случаев], период наблюдения 8,8 года). При сравнении категорий самой высокой и самой низкой концентрации Mg в крови величины совокупного относительного риска [ОР] (95 % доверительные интервалы [ДИ]) составили 0,86 (0,74‒0,996), 0,91 (0,80‒1,02) и 0,64 (0,50‒0,81) для частоты ИБС, АГ и СД 2 типа, соответственно. Повышение концентрации Mg в крови на каждые 0,1 ммоль/л сопровождалось снижением частоты  АГ на 4 % (ОР 0,96; 95 % ДИ 0,94‒0,99). Значимой линейной зависимости между концентрацией Mg в крови и частотой ИБС (ОР 0,89; 95 % ДИ 0,77‒1,03) и СД 2 типа (ОР 0,90; 95 % ДИ 0,81‒1,002) выявлено не было. Выявленные нами изучаемые зависимости были чувствительны к исключению отдельных исследований.</w:t>
            </w:r>
            <w:bookmarkEnd w:id="3"/>
          </w:p>
          <w:p w14:paraId="1F0D10A0" w14:textId="77777777" w:rsidR="004577D8" w:rsidRPr="00511EB2" w:rsidRDefault="00722C17" w:rsidP="00511EB2">
            <w:pPr>
              <w:pStyle w:val="a4"/>
              <w:shd w:val="clear" w:color="auto" w:fill="auto"/>
              <w:spacing w:after="80" w:line="240" w:lineRule="auto"/>
              <w:ind w:left="57" w:right="57"/>
              <w:jc w:val="both"/>
              <w:rPr>
                <w:rFonts w:cs="Times New Roman"/>
                <w:sz w:val="20"/>
                <w:szCs w:val="20"/>
              </w:rPr>
            </w:pPr>
            <w:bookmarkStart w:id="4" w:name="bookmark4"/>
            <w:r w:rsidRPr="00511EB2">
              <w:rPr>
                <w:rFonts w:eastAsia="Segoe UI" w:cs="Times New Roman"/>
                <w:b/>
                <w:color w:val="131413"/>
                <w:sz w:val="20"/>
                <w:szCs w:val="20"/>
                <w:lang w:bidi="ru-RU"/>
              </w:rPr>
              <w:t xml:space="preserve">Выводы: </w:t>
            </w:r>
            <w:r w:rsidRPr="00511EB2">
              <w:rPr>
                <w:rFonts w:eastAsia="Segoe UI" w:cs="Times New Roman"/>
                <w:color w:val="131413"/>
                <w:sz w:val="20"/>
                <w:szCs w:val="20"/>
                <w:lang w:bidi="ru-RU"/>
              </w:rPr>
              <w:t>Результаты данного метаанализа указывают на наличие обратной зависимости между концентрацией Mg в крови и частотой ИБС, АГ и СД 2 типа. Требуются дополнительные исследования для получения более надежных доказательств и выявления оптимального диапазона концентраций Mg в крови применительно к первичной профилактике ИБС, АГ и СД 2 типа.</w:t>
            </w:r>
            <w:bookmarkEnd w:id="4"/>
          </w:p>
          <w:p w14:paraId="1F0D10A1" w14:textId="77777777" w:rsidR="004577D8" w:rsidRPr="00B45667" w:rsidRDefault="00722C17" w:rsidP="00511EB2">
            <w:pPr>
              <w:pStyle w:val="a4"/>
              <w:shd w:val="clear" w:color="auto" w:fill="auto"/>
              <w:spacing w:line="240" w:lineRule="auto"/>
              <w:ind w:left="57" w:right="57"/>
              <w:jc w:val="both"/>
              <w:rPr>
                <w:rFonts w:cs="Times New Roman"/>
                <w:sz w:val="17"/>
                <w:szCs w:val="17"/>
              </w:rPr>
            </w:pPr>
            <w:r w:rsidRPr="00511EB2">
              <w:rPr>
                <w:rFonts w:eastAsia="Segoe UI" w:cs="Times New Roman"/>
                <w:b/>
                <w:color w:val="131413"/>
                <w:sz w:val="20"/>
                <w:szCs w:val="20"/>
                <w:lang w:bidi="ru-RU"/>
              </w:rPr>
              <w:t xml:space="preserve">Ключевые слова: </w:t>
            </w:r>
            <w:r w:rsidRPr="00511EB2">
              <w:rPr>
                <w:rFonts w:eastAsia="Segoe UI" w:cs="Times New Roman"/>
                <w:color w:val="131413"/>
                <w:sz w:val="20"/>
                <w:szCs w:val="20"/>
                <w:lang w:bidi="ru-RU"/>
              </w:rPr>
              <w:t>Магний, ишемическая болезнь сердца, артериальная гипертензия, сахарный диабет 2 типа, метаанализ</w:t>
            </w:r>
          </w:p>
        </w:tc>
      </w:tr>
    </w:tbl>
    <w:p w14:paraId="1F0D10B1" w14:textId="77F6BF00" w:rsidR="00722C17" w:rsidRPr="00B45667" w:rsidRDefault="00722C17">
      <w:pPr>
        <w:rPr>
          <w:rFonts w:cs="Times New Roman"/>
        </w:rPr>
        <w:sectPr w:rsidR="00722C17" w:rsidRPr="00B45667" w:rsidSect="00765DDD">
          <w:headerReference w:type="even" r:id="rId10"/>
          <w:headerReference w:type="default" r:id="rId11"/>
          <w:footerReference w:type="even" r:id="rId12"/>
          <w:footerReference w:type="default" r:id="rId13"/>
          <w:headerReference w:type="first" r:id="rId14"/>
          <w:footerReference w:type="first" r:id="rId15"/>
          <w:pgSz w:w="12240" w:h="16834"/>
          <w:pgMar w:top="851" w:right="1134" w:bottom="709" w:left="1134" w:header="567" w:footer="0" w:gutter="0"/>
          <w:cols w:space="720"/>
          <w:noEndnote/>
          <w:docGrid w:linePitch="360"/>
        </w:sectPr>
      </w:pPr>
    </w:p>
    <w:p w14:paraId="1F0D10B2" w14:textId="77777777" w:rsidR="004577D8" w:rsidRPr="004E6760" w:rsidRDefault="00722C17" w:rsidP="004E6760">
      <w:pPr>
        <w:pStyle w:val="10"/>
      </w:pPr>
      <w:bookmarkStart w:id="5" w:name="bookmark5"/>
      <w:bookmarkStart w:id="6" w:name="bookmark6"/>
      <w:r w:rsidRPr="004E6760">
        <w:lastRenderedPageBreak/>
        <w:t>Введение</w:t>
      </w:r>
      <w:bookmarkEnd w:id="5"/>
      <w:bookmarkEnd w:id="6"/>
    </w:p>
    <w:p w14:paraId="1F0D10B3" w14:textId="77777777" w:rsidR="004577D8" w:rsidRPr="00B45667" w:rsidRDefault="00722C17" w:rsidP="00B84D9A">
      <w:pPr>
        <w:pStyle w:val="20"/>
        <w:shd w:val="clear" w:color="auto" w:fill="auto"/>
        <w:jc w:val="both"/>
      </w:pPr>
      <w:r w:rsidRPr="00B45667">
        <w:rPr>
          <w:lang w:bidi="ru-RU"/>
        </w:rPr>
        <w:t>Исследования указывают на то, что ишемическая болезнь сердца (ИБС), артериальная гипертензия (АГ) и сахарный диабет (СД) 2 типа являются сочетанными заболеваниями и основными факторами риска смертности [</w:t>
      </w:r>
      <w:hyperlink w:anchor="bookmark42" w:tooltip="Текущий документ">
        <w:r w:rsidRPr="00B45667">
          <w:rPr>
            <w:lang w:bidi="ru-RU"/>
          </w:rPr>
          <w:t>1</w:t>
        </w:r>
      </w:hyperlink>
      <w:r w:rsidRPr="00B45667">
        <w:rPr>
          <w:lang w:bidi="ru-RU"/>
        </w:rPr>
        <w:t xml:space="preserve">, </w:t>
      </w:r>
      <w:hyperlink w:anchor="bookmark42" w:tooltip="Текущий документ">
        <w:r w:rsidRPr="00B45667">
          <w:rPr>
            <w:lang w:bidi="ru-RU"/>
          </w:rPr>
          <w:t>2</w:t>
        </w:r>
      </w:hyperlink>
      <w:r w:rsidRPr="00B45667">
        <w:rPr>
          <w:lang w:bidi="ru-RU"/>
        </w:rPr>
        <w:t>]. Частота этих хронических заболеваний быстро растет [</w:t>
      </w:r>
      <w:hyperlink w:anchor="bookmark42" w:tooltip="Текущий документ">
        <w:r w:rsidRPr="00B45667">
          <w:rPr>
            <w:lang w:bidi="ru-RU"/>
          </w:rPr>
          <w:t>3</w:t>
        </w:r>
      </w:hyperlink>
      <w:r w:rsidRPr="00B45667">
        <w:rPr>
          <w:lang w:bidi="ru-RU"/>
        </w:rPr>
        <w:t>-</w:t>
      </w:r>
      <w:hyperlink w:anchor="bookmark42" w:tooltip="Текущий документ">
        <w:r w:rsidRPr="00B45667">
          <w:rPr>
            <w:lang w:bidi="ru-RU"/>
          </w:rPr>
          <w:t>5</w:t>
        </w:r>
      </w:hyperlink>
      <w:r w:rsidRPr="00B45667">
        <w:rPr>
          <w:lang w:bidi="ru-RU"/>
        </w:rPr>
        <w:t>], а выявление модифицируемых факторов риска является ключевым моментом в их профилактике.</w:t>
      </w:r>
    </w:p>
    <w:p w14:paraId="1F0D10B4" w14:textId="77777777" w:rsidR="004577D8" w:rsidRPr="00B45667" w:rsidRDefault="00722C17" w:rsidP="00B84D9A">
      <w:pPr>
        <w:pStyle w:val="20"/>
        <w:shd w:val="clear" w:color="auto" w:fill="auto"/>
        <w:ind w:firstLine="360"/>
        <w:jc w:val="both"/>
      </w:pPr>
      <w:r w:rsidRPr="00B45667">
        <w:rPr>
          <w:lang w:bidi="ru-RU"/>
        </w:rPr>
        <w:t>Магний (Mg) является вторым преобладающим внутриклеточным электролитом после калия. Mg служит важным кофактором во многих основных ферментативных реакциях, участвующих в метаболизме глюкозы, и других жизненно важных физиологических процессах, включая регуляцию тонуса гладких мышц сосудов и функции эндотелиальных клеток [</w:t>
      </w:r>
      <w:hyperlink w:anchor="bookmark42" w:tooltip="Текущий документ">
        <w:r w:rsidRPr="00B45667">
          <w:rPr>
            <w:lang w:bidi="ru-RU"/>
          </w:rPr>
          <w:t>6</w:t>
        </w:r>
      </w:hyperlink>
      <w:r w:rsidRPr="00B45667">
        <w:rPr>
          <w:lang w:bidi="ru-RU"/>
        </w:rPr>
        <w:t>-</w:t>
      </w:r>
      <w:hyperlink w:anchor="bookmark42" w:tooltip="Текущий документ">
        <w:r w:rsidRPr="00B45667">
          <w:rPr>
            <w:lang w:bidi="ru-RU"/>
          </w:rPr>
          <w:t>8</w:t>
        </w:r>
      </w:hyperlink>
      <w:r w:rsidRPr="00B45667">
        <w:rPr>
          <w:lang w:bidi="ru-RU"/>
        </w:rPr>
        <w:t>]. В последние десятилетия внимание исследователей привлекает роль Mg в развитии и прогрессировании СД 2 типа и сердечно-сосудистых заболеваний (ССЗ) [</w:t>
      </w:r>
      <w:hyperlink w:anchor="bookmark42" w:tooltip="Текущий документ">
        <w:r w:rsidRPr="00B45667">
          <w:rPr>
            <w:lang w:bidi="ru-RU"/>
          </w:rPr>
          <w:t>9</w:t>
        </w:r>
      </w:hyperlink>
      <w:r w:rsidRPr="00B45667">
        <w:rPr>
          <w:lang w:bidi="ru-RU"/>
        </w:rPr>
        <w:t>-</w:t>
      </w:r>
      <w:hyperlink w:anchor="bookmark42" w:tooltip="Текущий документ">
        <w:r w:rsidRPr="00B45667">
          <w:rPr>
            <w:lang w:bidi="ru-RU"/>
          </w:rPr>
          <w:t>13</w:t>
        </w:r>
      </w:hyperlink>
      <w:r w:rsidRPr="00B45667">
        <w:rPr>
          <w:lang w:bidi="ru-RU"/>
        </w:rPr>
        <w:t>]. Несколько крупных проспективных когортных исследований выявили связь между низким уровнем потребления Mg и повышенной частотой случаев СД 2 типа и ССЗ [</w:t>
      </w:r>
      <w:hyperlink w:anchor="bookmark42" w:tooltip="Текущий документ">
        <w:r w:rsidRPr="00B45667">
          <w:rPr>
            <w:lang w:bidi="ru-RU"/>
          </w:rPr>
          <w:t>11</w:t>
        </w:r>
      </w:hyperlink>
      <w:r w:rsidRPr="00B45667">
        <w:rPr>
          <w:lang w:bidi="ru-RU"/>
        </w:rPr>
        <w:t xml:space="preserve">, </w:t>
      </w:r>
      <w:hyperlink w:anchor="bookmark42" w:tooltip="Текущий документ">
        <w:r w:rsidRPr="00B45667">
          <w:rPr>
            <w:lang w:bidi="ru-RU"/>
          </w:rPr>
          <w:t>12</w:t>
        </w:r>
      </w:hyperlink>
      <w:r w:rsidRPr="00B45667">
        <w:rPr>
          <w:lang w:bidi="ru-RU"/>
        </w:rPr>
        <w:t xml:space="preserve">, </w:t>
      </w:r>
      <w:hyperlink w:anchor="bookmark42" w:tooltip="Текущий документ">
        <w:r w:rsidRPr="00B45667">
          <w:rPr>
            <w:lang w:bidi="ru-RU"/>
          </w:rPr>
          <w:t>14</w:t>
        </w:r>
      </w:hyperlink>
      <w:r w:rsidRPr="00B45667">
        <w:rPr>
          <w:lang w:bidi="ru-RU"/>
        </w:rPr>
        <w:t>16]. Следует отметить, что в этих исследованиях ошибки в классификации неизбежны, так как уровень потребления Mg, как правило, оценивался на основании опросников частоты потребления различных пищевых продуктов, которые заполняли сами участники исследований [</w:t>
      </w:r>
      <w:hyperlink w:anchor="bookmark42" w:tooltip="Текущий документ">
        <w:r w:rsidRPr="00B45667">
          <w:rPr>
            <w:lang w:bidi="ru-RU"/>
          </w:rPr>
          <w:t>11</w:t>
        </w:r>
      </w:hyperlink>
      <w:r w:rsidRPr="00B45667">
        <w:rPr>
          <w:lang w:bidi="ru-RU"/>
        </w:rPr>
        <w:t xml:space="preserve">, </w:t>
      </w:r>
      <w:hyperlink w:anchor="bookmark42" w:tooltip="Текущий документ">
        <w:r w:rsidRPr="00B45667">
          <w:rPr>
            <w:lang w:bidi="ru-RU"/>
          </w:rPr>
          <w:t>15</w:t>
        </w:r>
      </w:hyperlink>
      <w:r w:rsidRPr="00B45667">
        <w:rPr>
          <w:lang w:bidi="ru-RU"/>
        </w:rPr>
        <w:t>, 16]. Кроме того, содержание Mg в продуктах питания не отражает точного уровня его потребления поскольку не учитывает существенные потери Mg при обработке продуктов и приготовлении пищи [17]. Более того, влияние Mg на здоровье сложно оценить изолированно от потребления других нутриентов, таких как кальций, калий, фосфор и пищевые волокна.</w:t>
      </w:r>
    </w:p>
    <w:p w14:paraId="1F0D10B5" w14:textId="77777777" w:rsidR="004577D8" w:rsidRPr="00B45667" w:rsidRDefault="00722C17" w:rsidP="00B84D9A">
      <w:pPr>
        <w:pStyle w:val="20"/>
        <w:shd w:val="clear" w:color="auto" w:fill="auto"/>
        <w:ind w:firstLine="360"/>
        <w:jc w:val="both"/>
      </w:pPr>
      <w:r w:rsidRPr="00B45667">
        <w:rPr>
          <w:lang w:bidi="ru-RU"/>
        </w:rPr>
        <w:t>В клинической практике для оценки нарушений обмена Mg чаще всего используют определение концентрации Mg в сыворотке или плазме крови. Она отражает не только уровень его потребления с пищей, но и всасывание в кишечнике, реабсорбцию и экскрецию в почках, а также гормональную регуляцию. У здоровых лиц концентрация Mg в крови достаточно стабильна, за исключением случаев дефицита Mg. Следует отметить, что подавляющая часть эпидемиологических и клинических данных о связи между хроническими заболеваниями и содержанием Mg в организме получена исходя из концентрации общего Mg в сыворотке крови, которая достаточно близка к концентрации ионизированного (свободного) Mg [18]. Использование других биомаркеров, таких как суточная экскреция Mg с мочой, содержание Mg в эритроцитах и концентрация ионизированного Mg, в крупномасштабных эпидемиологических исследованиях часто было ограничено бюджетом и этическими соображениями. В недавно опубликованном метаанализе рандомизированных контролируемых исследований выявлена зависимость концентрации Mg в крови от дозы Mg-содержащих добавок к пище для приема внутрь [19], что подтверждает роль концентрации Mg в крови в качестве приемлемого биомаркера содержания Mg в организме.</w:t>
      </w:r>
    </w:p>
    <w:p w14:paraId="1F0D10B6" w14:textId="77777777" w:rsidR="004577D8" w:rsidRPr="00B45667" w:rsidRDefault="00722C17" w:rsidP="00B84D9A">
      <w:pPr>
        <w:pStyle w:val="20"/>
        <w:shd w:val="clear" w:color="auto" w:fill="auto"/>
        <w:ind w:firstLine="360"/>
        <w:jc w:val="both"/>
      </w:pPr>
      <w:r w:rsidRPr="00B45667">
        <w:rPr>
          <w:lang w:bidi="ru-RU"/>
        </w:rPr>
        <w:t>Во многих исследованиях высказано предположение, что низкая концентрация Mg в крови связана с инсулинорезистентностью [</w:t>
      </w:r>
      <w:hyperlink w:anchor="bookmark42" w:tooltip="Текущий документ">
        <w:r w:rsidRPr="00B45667">
          <w:rPr>
            <w:lang w:bidi="ru-RU"/>
          </w:rPr>
          <w:t>12</w:t>
        </w:r>
      </w:hyperlink>
      <w:r w:rsidRPr="00B45667">
        <w:rPr>
          <w:lang w:bidi="ru-RU"/>
        </w:rPr>
        <w:t>, 20, 21], известным фактором риска СД 2 типа, ИБС и АГ [22]. В ряде проспективных когортных исследований изучалась зависимость между концентрацией Mg в крови и частотой ИБС [23-27], АГ [26, 28, 29] или СД 2 типа [</w:t>
      </w:r>
      <w:hyperlink w:anchor="bookmark42" w:tooltip="Текущий документ">
        <w:r w:rsidRPr="00B45667">
          <w:rPr>
            <w:lang w:bidi="ru-RU"/>
          </w:rPr>
          <w:t>11</w:t>
        </w:r>
      </w:hyperlink>
      <w:r w:rsidRPr="00B45667">
        <w:rPr>
          <w:lang w:bidi="ru-RU"/>
        </w:rPr>
        <w:t>, 30-32], однако полученные результаты противоречивы и не позволяют сделать окончательных выводов. В одном недавно опубликованном метаанализе, в котором изучался как уровень потребления Mg с пищей, так и его концентрация в крови, выявлена обратная ассоциация с риском ИБС [33]. В двух более ранних метаанализах было установлено, что концентрация Mg в крови обратно ассоциирована с риском ССЗ [</w:t>
      </w:r>
      <w:hyperlink w:anchor="bookmark42" w:tooltip="Текущий документ">
        <w:r w:rsidRPr="00B45667">
          <w:rPr>
            <w:lang w:bidi="ru-RU"/>
          </w:rPr>
          <w:t>13</w:t>
        </w:r>
      </w:hyperlink>
      <w:r w:rsidRPr="00B45667">
        <w:rPr>
          <w:lang w:bidi="ru-RU"/>
        </w:rPr>
        <w:t>, 34]. В любом случае, уровень потребления Mg с пищей подвержен ошибкам измерения. Кроме того, к ССЗ относится ряд исходов с различным патогенезом, например, ишемический и геморрагический инсульты. Исследования также указывают, что ИБС, АГ и СД 2 типа являются сочетанными заболеваниями и основными факторами риска смертности. Примечательно, что у всех этих трех хронических заболеваний есть общий фактор риска ― инсулинорезистентность, которая тесно связана с концентрацией Mg в крови. Таким образом, мы задались целью количественно объединить литературные данные, проведя метаанализ проспективных когортных исследований, посвященных зависимости между концентрацией Mg в крови и частотой ИБС, АГ и СД 2 типа.</w:t>
      </w:r>
    </w:p>
    <w:p w14:paraId="1F0D10B7" w14:textId="77777777" w:rsidR="004577D8" w:rsidRPr="00B45667" w:rsidRDefault="00722C17" w:rsidP="004E6760">
      <w:pPr>
        <w:pStyle w:val="10"/>
      </w:pPr>
      <w:bookmarkStart w:id="7" w:name="bookmark7"/>
      <w:bookmarkStart w:id="8" w:name="bookmark8"/>
      <w:r w:rsidRPr="00B45667">
        <w:t>Методы</w:t>
      </w:r>
      <w:bookmarkEnd w:id="7"/>
      <w:bookmarkEnd w:id="8"/>
    </w:p>
    <w:p w14:paraId="1F0D10B8" w14:textId="77777777" w:rsidR="004577D8" w:rsidRPr="00B45667" w:rsidRDefault="00722C17" w:rsidP="00B84D9A">
      <w:pPr>
        <w:pStyle w:val="20"/>
        <w:shd w:val="clear" w:color="auto" w:fill="auto"/>
        <w:jc w:val="both"/>
      </w:pPr>
      <w:r w:rsidRPr="00B45667">
        <w:rPr>
          <w:lang w:bidi="ru-RU"/>
        </w:rPr>
        <w:t>Настоящий метаанализ был проведен в соответствии с руководством по предпочтительным компонентам для подготовки систематических обзоров и метаанализов (PRISMA) [35]. Заполненный контрольный лист PRISMA представлен в дополнительном файле 1: Таблица S1 (см. сопроводительные материалы).</w:t>
      </w:r>
    </w:p>
    <w:p w14:paraId="1F0D10B9" w14:textId="77777777" w:rsidR="004577D8" w:rsidRPr="00B45667" w:rsidRDefault="00722C17" w:rsidP="00367D06">
      <w:pPr>
        <w:pStyle w:val="22"/>
      </w:pPr>
      <w:bookmarkStart w:id="9" w:name="bookmark10"/>
      <w:r w:rsidRPr="00B45667">
        <w:t>Источники данных и стратегия поиска</w:t>
      </w:r>
      <w:bookmarkEnd w:id="9"/>
    </w:p>
    <w:p w14:paraId="1F0D10BA" w14:textId="77777777" w:rsidR="004577D8" w:rsidRPr="00B45667" w:rsidRDefault="00722C17" w:rsidP="00B84D9A">
      <w:pPr>
        <w:pStyle w:val="20"/>
        <w:shd w:val="clear" w:color="auto" w:fill="auto"/>
        <w:jc w:val="both"/>
      </w:pPr>
      <w:r w:rsidRPr="00B45667">
        <w:rPr>
          <w:lang w:bidi="ru-RU"/>
        </w:rPr>
        <w:t>Мы провели систематический обзор литературы, чтобы найти все исследования, посвященные зависимости между концентрацией Mg в крови и частотой ИБС, АГ и СД 2 типа, до мая 2017 г. включительно. В первую очередь, мы провели поиск в электронной базе данных PubMed (</w:t>
      </w:r>
      <w:hyperlink r:id="rId16" w:history="1">
        <w:r w:rsidRPr="00B45667">
          <w:rPr>
            <w:lang w:bidi="ru-RU"/>
          </w:rPr>
          <w:t>https://www.ncbi.nlm.nih.gov/pubmed</w:t>
        </w:r>
      </w:hyperlink>
      <w:r w:rsidRPr="00B45667">
        <w:rPr>
          <w:lang w:bidi="ru-RU"/>
        </w:rPr>
        <w:t xml:space="preserve">) по следующим терминам медицинских предметных рубрик: («микроэлементы» ИЛИ «магний» ИЛИ «дефицит магния») И («сердечно-сосудистые заболевания» ИЛИ «инфаркт миокарда» ИЛИ «ишемическая болезнь сердца» ИЛИ «артериальная </w:t>
      </w:r>
      <w:r w:rsidRPr="00B45667">
        <w:rPr>
          <w:lang w:bidi="ru-RU"/>
        </w:rPr>
        <w:lastRenderedPageBreak/>
        <w:t>гипертензия» ИЛИ «артериальное давление» ИЛИ «коронарная болезнь сердца» ИЛИ «сахарный диабет» ИЛИ «гипергликемия» ИЛИ «инсулинорезистентность») И («когортные исследования» ИЛИ «наблюдательные исследования» ИЛИ «продольные исследования» ИЛИ «проспективные исследования»). Далее мы просмотрели базы данных EmBase (</w:t>
      </w:r>
      <w:hyperlink r:id="rId17" w:history="1">
        <w:r w:rsidRPr="00B45667">
          <w:rPr>
            <w:lang w:bidi="ru-RU"/>
          </w:rPr>
          <w:t>http://www.elsevier.com/online-tools/embase</w:t>
        </w:r>
      </w:hyperlink>
      <w:r w:rsidRPr="00B45667">
        <w:rPr>
          <w:lang w:bidi="ru-RU"/>
        </w:rPr>
        <w:t>), SCOPUS (</w:t>
      </w:r>
      <w:hyperlink r:id="rId18" w:history="1">
        <w:r w:rsidRPr="00B45667">
          <w:rPr>
            <w:lang w:bidi="ru-RU"/>
          </w:rPr>
          <w:t>https://www.scopus.com</w:t>
        </w:r>
      </w:hyperlink>
      <w:r w:rsidRPr="00B45667">
        <w:rPr>
          <w:lang w:bidi="ru-RU"/>
        </w:rPr>
        <w:t xml:space="preserve">/) и Google Scholar </w:t>
      </w:r>
      <w:hyperlink r:id="rId19" w:history="1">
        <w:r w:rsidRPr="00B45667">
          <w:rPr>
            <w:lang w:bidi="ru-RU"/>
          </w:rPr>
          <w:t>(http://scholar.google.com/</w:t>
        </w:r>
      </w:hyperlink>
      <w:r w:rsidRPr="00B45667">
        <w:rPr>
          <w:lang w:bidi="ru-RU"/>
        </w:rPr>
        <w:t>). Кроме того, мы выявляли значимые статьи с помощью ручного поиска по спискам литературы в найденных исследованиях и обзорных статьях.</w:t>
      </w:r>
    </w:p>
    <w:p w14:paraId="1F0D10BB" w14:textId="77777777" w:rsidR="004577D8" w:rsidRPr="00B45667" w:rsidRDefault="00722C17" w:rsidP="00367D06">
      <w:pPr>
        <w:pStyle w:val="22"/>
      </w:pPr>
      <w:bookmarkStart w:id="10" w:name="bookmark11"/>
      <w:bookmarkStart w:id="11" w:name="bookmark12"/>
      <w:r w:rsidRPr="00B45667">
        <w:t>Отбор исследований</w:t>
      </w:r>
      <w:bookmarkEnd w:id="10"/>
      <w:bookmarkEnd w:id="11"/>
    </w:p>
    <w:p w14:paraId="1F0D10BD" w14:textId="214B932E" w:rsidR="004577D8" w:rsidRPr="00B45667" w:rsidRDefault="00722C17" w:rsidP="00B84D9A">
      <w:pPr>
        <w:pStyle w:val="20"/>
        <w:shd w:val="clear" w:color="auto" w:fill="auto"/>
        <w:jc w:val="both"/>
      </w:pPr>
      <w:r w:rsidRPr="00B45667">
        <w:rPr>
          <w:lang w:bidi="ru-RU"/>
        </w:rPr>
        <w:t xml:space="preserve">Статьи отбирались при соответствии следующим критериям: опубликованы на английском языке; проспективное исследование; оценка зависимости между исходной концентрацией Mg в крови и ИБС, АГ или СД 2 типа; указаны оценки относительного риска (ОР), отношения рисков или отношения шансов (ОШ) с 95 % доверительными интервалами (ДИ), либо эти показатели можно рассчитать по имеющимся данным. В исследованиях, включенных в анализ, понятие ИБС включало любое проявление ишемической болезни сердца: впервые выявленную ишемическую болезнь сердца или коронарную смерть, стенокардию, инфаркт миокарда и внезапную сердечную смерть. Под АГ понимали величину систолического артериального давления </w:t>
      </w:r>
      <w:r w:rsidRPr="00B45667">
        <w:rPr>
          <w:rFonts w:eastAsia="Arial"/>
          <w:sz w:val="19"/>
          <w:szCs w:val="19"/>
          <w:lang w:bidi="ru-RU"/>
        </w:rPr>
        <w:t>≥ </w:t>
      </w:r>
      <w:r w:rsidRPr="00B45667">
        <w:rPr>
          <w:lang w:bidi="ru-RU"/>
        </w:rPr>
        <w:t xml:space="preserve">140 мм рт.ст. или диастолического артериального давления </w:t>
      </w:r>
      <w:r w:rsidRPr="00B45667">
        <w:rPr>
          <w:rFonts w:eastAsia="Arial"/>
          <w:sz w:val="19"/>
          <w:szCs w:val="19"/>
          <w:lang w:bidi="ru-RU"/>
        </w:rPr>
        <w:t>≥ </w:t>
      </w:r>
      <w:r w:rsidRPr="00B45667">
        <w:rPr>
          <w:lang w:bidi="ru-RU"/>
        </w:rPr>
        <w:t xml:space="preserve">90 мм рт.ст., или прием антигипертензивных препаратов. СД 2 типа определяли на основании уровня глюкозы в крови (глюкоза плазмы крови натощак </w:t>
      </w:r>
      <w:r w:rsidRPr="00B45667">
        <w:rPr>
          <w:rFonts w:eastAsia="Arial"/>
          <w:sz w:val="19"/>
          <w:szCs w:val="19"/>
          <w:lang w:bidi="ru-RU"/>
        </w:rPr>
        <w:t>≥</w:t>
      </w:r>
      <w:r w:rsidRPr="00B45667">
        <w:rPr>
          <w:lang w:bidi="ru-RU"/>
        </w:rPr>
        <w:t xml:space="preserve"> 7,0 ммоль/л или глюкоза не натощак либо через 2 ч после углеводной нагрузки </w:t>
      </w:r>
      <w:r w:rsidRPr="00B45667">
        <w:rPr>
          <w:rFonts w:eastAsia="Arial"/>
          <w:sz w:val="19"/>
          <w:szCs w:val="19"/>
          <w:lang w:bidi="ru-RU"/>
        </w:rPr>
        <w:t>≥</w:t>
      </w:r>
      <w:r w:rsidRPr="00B45667">
        <w:rPr>
          <w:lang w:bidi="ru-RU"/>
        </w:rPr>
        <w:t> 11,1 ммоль/л) или приема сахароснижающих препаратов. Новые случаи развития ИБС, АГ и СД 2 типа выявляли по историям болезни,  свидетельствам о смерти или на основании сообщений участников. Все статьи были найдены при первоначальном просмотре аннотаций с последующим обзором полнотекстовых версий, проведенном независимо двумя исследователями (ЦВ и ПС).</w:t>
      </w:r>
    </w:p>
    <w:p w14:paraId="1F0D10BE" w14:textId="77777777" w:rsidR="004577D8" w:rsidRPr="00B45667" w:rsidRDefault="00722C17" w:rsidP="00367D06">
      <w:pPr>
        <w:pStyle w:val="22"/>
      </w:pPr>
      <w:bookmarkStart w:id="12" w:name="bookmark13"/>
      <w:bookmarkStart w:id="13" w:name="bookmark14"/>
      <w:r w:rsidRPr="00B45667">
        <w:t>Извлечение данных и оценка качества исследований</w:t>
      </w:r>
      <w:bookmarkEnd w:id="12"/>
      <w:bookmarkEnd w:id="13"/>
    </w:p>
    <w:p w14:paraId="1F0D10BF" w14:textId="77777777" w:rsidR="004577D8" w:rsidRPr="00B45667" w:rsidRDefault="00722C17" w:rsidP="00B84D9A">
      <w:pPr>
        <w:pStyle w:val="20"/>
        <w:shd w:val="clear" w:color="auto" w:fill="auto"/>
        <w:jc w:val="both"/>
      </w:pPr>
      <w:r w:rsidRPr="00B45667">
        <w:rPr>
          <w:lang w:bidi="ru-RU"/>
        </w:rPr>
        <w:t>Значимые данные извлекались независимо двумя исследователями (ЦВ и ПС) с помощью стандартизированной формы, а разногласия разрешались посредством консенсуса после обсуждения с третьим исследователем (КХ). Извлекали следующие данные: характеристики исследования (название исследования, год публикации, авторы, страна, в которой проводилось исследование, дизайн исследования, объем выборки и период наблюдения), характеристики участников (исходный возраст, расовая принадлежность, процент мужчин, основные переменные), воздействие (метод оценки, классификация), основные исходы и оценки ОР с 95 % ДИ для соответствующих категорий и/или непрерывного воздействия. Если анализ проводился более чем в одной многофакторной модели, извлекались оценки после коррекции с учетом всех потенциальных искажающих факторов.</w:t>
      </w:r>
    </w:p>
    <w:p w14:paraId="1F0D10C0" w14:textId="77777777" w:rsidR="004577D8" w:rsidRPr="00B45667" w:rsidRDefault="00722C17" w:rsidP="00B84D9A">
      <w:pPr>
        <w:pStyle w:val="20"/>
        <w:shd w:val="clear" w:color="auto" w:fill="auto"/>
        <w:ind w:firstLine="360"/>
        <w:jc w:val="both"/>
      </w:pPr>
      <w:r w:rsidRPr="00B45667">
        <w:rPr>
          <w:lang w:bidi="ru-RU"/>
        </w:rPr>
        <w:t xml:space="preserve">Качество включенных исследований устанавливалось по шкале оценки качества исследований Ньюкасл ― Оттава (ШНО) [36] независимо двумя исследователями (ЦВ и ПС). Любые разногласия разрешались путем общего обсуждения с третьим исследователем (КХ). В данной шкале предусмотрена общая оценка, максимально до 9 баллов. ШНО для оценки когортных исследований подразделяется на три группы: отбор когорты (4 балла), сопоставимость когорты (2 балла) и оценка исхода (3 балла). Качество исследования считалось высоким или средним при суммарной оценке </w:t>
      </w:r>
      <w:r w:rsidRPr="00B45667">
        <w:rPr>
          <w:rFonts w:eastAsia="Arial"/>
          <w:sz w:val="19"/>
          <w:szCs w:val="19"/>
          <w:lang w:bidi="ru-RU"/>
        </w:rPr>
        <w:t>≥</w:t>
      </w:r>
      <w:r w:rsidRPr="00B45667">
        <w:rPr>
          <w:lang w:bidi="ru-RU"/>
        </w:rPr>
        <w:t> 8 баллов или от 5 до 7 баллов, соответственно.</w:t>
      </w:r>
    </w:p>
    <w:p w14:paraId="1F0D10C1" w14:textId="77777777" w:rsidR="004577D8" w:rsidRPr="00B45667" w:rsidRDefault="00722C17" w:rsidP="00367D06">
      <w:pPr>
        <w:pStyle w:val="22"/>
      </w:pPr>
      <w:bookmarkStart w:id="14" w:name="bookmark15"/>
      <w:bookmarkStart w:id="15" w:name="bookmark16"/>
      <w:r w:rsidRPr="00B45667">
        <w:t>Статистические методы</w:t>
      </w:r>
      <w:bookmarkEnd w:id="14"/>
      <w:bookmarkEnd w:id="15"/>
    </w:p>
    <w:p w14:paraId="1F0D10C2" w14:textId="77777777" w:rsidR="004577D8" w:rsidRPr="00B45667" w:rsidRDefault="00722C17" w:rsidP="00FD30B7">
      <w:pPr>
        <w:pStyle w:val="20"/>
        <w:shd w:val="clear" w:color="auto" w:fill="auto"/>
        <w:jc w:val="both"/>
      </w:pPr>
      <w:r w:rsidRPr="00B45667">
        <w:rPr>
          <w:lang w:bidi="ru-RU"/>
        </w:rPr>
        <w:t>Все анализы выполнялись в статистической программе STATA (версия 13.0; STATA Corporation LP, Колледж-Стейшен, Техас, США). Если не указано иное, p-значение </w:t>
      </w:r>
      <w:r w:rsidRPr="00B45667">
        <w:rPr>
          <w:rFonts w:eastAsia="Arial"/>
          <w:sz w:val="19"/>
          <w:szCs w:val="19"/>
          <w:lang w:bidi="ru-RU"/>
        </w:rPr>
        <w:t xml:space="preserve">≤ </w:t>
      </w:r>
      <w:r w:rsidRPr="00B45667">
        <w:rPr>
          <w:lang w:bidi="ru-RU"/>
        </w:rPr>
        <w:t>0,05 считалось статистически значимым.</w:t>
      </w:r>
    </w:p>
    <w:p w14:paraId="1F0D10C3" w14:textId="77777777" w:rsidR="004577D8" w:rsidRPr="00B45667" w:rsidRDefault="00722C17" w:rsidP="00FD30B7">
      <w:pPr>
        <w:pStyle w:val="20"/>
        <w:shd w:val="clear" w:color="auto" w:fill="auto"/>
        <w:ind w:firstLine="360"/>
        <w:jc w:val="both"/>
      </w:pPr>
      <w:r w:rsidRPr="00B45667">
        <w:rPr>
          <w:lang w:bidi="ru-RU"/>
        </w:rPr>
        <w:t>В метаанализе в качестве показателя размера эффекта для всех исследований мы использовали ОР и 95 % ДИ. Отношение рисков расценивалось напрямую как ОР, а ОШ расценивалось как ОР в основном анализе и преобразовывалось в ОР в анализе чувствительности по следующей формуле: ОР = ОШ/[(1 ‒ P</w:t>
      </w:r>
      <w:r w:rsidRPr="00B45667">
        <w:rPr>
          <w:sz w:val="13"/>
          <w:szCs w:val="13"/>
          <w:lang w:bidi="ru-RU"/>
        </w:rPr>
        <w:t>0</w:t>
      </w:r>
      <w:r w:rsidRPr="00B45667">
        <w:rPr>
          <w:lang w:bidi="ru-RU"/>
        </w:rPr>
        <w:t>) + ОШ × P</w:t>
      </w:r>
      <w:r w:rsidRPr="00B45667">
        <w:rPr>
          <w:sz w:val="13"/>
          <w:szCs w:val="13"/>
          <w:lang w:bidi="ru-RU"/>
        </w:rPr>
        <w:t>0</w:t>
      </w:r>
      <w:r w:rsidRPr="00B45667">
        <w:rPr>
          <w:lang w:bidi="ru-RU"/>
        </w:rPr>
        <w:t>)], где P</w:t>
      </w:r>
      <w:r w:rsidRPr="00B45667">
        <w:rPr>
          <w:sz w:val="13"/>
          <w:szCs w:val="13"/>
          <w:lang w:bidi="ru-RU"/>
        </w:rPr>
        <w:t xml:space="preserve">0 </w:t>
      </w:r>
      <w:r w:rsidRPr="00B45667">
        <w:rPr>
          <w:lang w:bidi="ru-RU"/>
        </w:rPr>
        <w:t>отражает частоту изучаемого исхода в группе сравнения [37]. Величины ОР и 95 % ДИ, преобразованные в натуральные логарифмы (ln), использовались для расчета соответствующих стандартных ошибок. Для описания изучаемых линейных зависимостей величины ОР и 95 % ДИ были преобразованы в пошаговое увеличение концентрации Mg на 0,1 ммоль/л независимо от исходных единиц (мэкв/л, ммоль/л или мг/дл). Если в исследовании не была описана линейная зависимость между концентрацией Mg в крови и изучаемыми исходами, мы оценивали ее на основании категориальной зависимости методом Гринлэнда и Лоннекера, если для каждой подгруппы, выделенной на основании концентрации Mg, было указано количество участников и событий в пересчете на человеко-годы [38], или, в ином случае, с помощью линейного регрессионного анализа методом наименьших квадратов со взвешенной дисперсией. Если в группе самой высокой или самой низкой концентрации Mg одна из границ диапазона была открытой, верхнюю или нижнюю границу оценивали с учетом допущения, что диапазон имеет такую же ширину, что и смежная категория.</w:t>
      </w:r>
    </w:p>
    <w:p w14:paraId="1F0D10C4" w14:textId="77777777" w:rsidR="004577D8" w:rsidRPr="00B45667" w:rsidRDefault="00722C17" w:rsidP="00FD30B7">
      <w:pPr>
        <w:pStyle w:val="20"/>
        <w:shd w:val="clear" w:color="auto" w:fill="auto"/>
        <w:ind w:firstLine="360"/>
        <w:jc w:val="both"/>
      </w:pPr>
      <w:r w:rsidRPr="00B45667">
        <w:rPr>
          <w:lang w:bidi="ru-RU"/>
        </w:rPr>
        <w:t xml:space="preserve">Мы объединили оценки ОР отдельно для каждого исхода с помощью модели со случайными эффектами. Мы изучили статистическую неоднородность ОР с помощью Кокрановского критерия Q с уровнем значимости 0,10 и </w:t>
      </w:r>
      <w:r w:rsidRPr="00B45667">
        <w:rPr>
          <w:lang w:bidi="ru-RU"/>
        </w:rPr>
        <w:lastRenderedPageBreak/>
        <w:t>выполнили ее количественную оценку с помощью статистического критерия I</w:t>
      </w:r>
      <w:r w:rsidRPr="00B45667">
        <w:rPr>
          <w:vertAlign w:val="superscript"/>
          <w:lang w:bidi="ru-RU"/>
        </w:rPr>
        <w:t>2</w:t>
      </w:r>
      <w:r w:rsidRPr="00B45667">
        <w:rPr>
          <w:lang w:bidi="ru-RU"/>
        </w:rPr>
        <w:t>, значения которого 0‒25 %, 26‒50 %, 51‒75 % или &gt; 75 % означали очень низкую, низкую, среднюю и высокую степень неоднородности, соответственно. Систематическую ошибку, связанную с предвзятостью публикаций, оценивали визуально по воронкообразным диаграммам и статистически по критерию асимметрии регрессии Эггера и критерию ранговой корреляции Бегга при уровне значимости 0,10. При наличии систематической ошибки, связанной с предвзятостью публикаций, для коррекции объединенных результатов применялся метод «обрезки и заполнения» Дюваля и Твиди [39].</w:t>
      </w:r>
    </w:p>
    <w:p w14:paraId="1F0D10C5" w14:textId="77777777" w:rsidR="004577D8" w:rsidRPr="00B45667" w:rsidRDefault="00722C17" w:rsidP="00FD30B7">
      <w:pPr>
        <w:pStyle w:val="20"/>
        <w:shd w:val="clear" w:color="auto" w:fill="auto"/>
        <w:ind w:firstLine="360"/>
        <w:jc w:val="both"/>
      </w:pPr>
      <w:r w:rsidRPr="00B45667">
        <w:rPr>
          <w:lang w:bidi="ru-RU"/>
        </w:rPr>
        <w:t>Средний период наблюдения рассчитывался как сумма человеко-лет, разделенная на общее число участников. Анализы чувствительности проводились для оценки влияния замещения модели со случайными эффектами моделью с фиксированными эффектами и влияния отдельного исследования на общую зависимость при расчете обобщенных оценок с исключением каждого исследования по очереди. Кроме того, в анализе чувствительности ОШ пересчитывались в ОР.</w:t>
      </w:r>
    </w:p>
    <w:p w14:paraId="1F0D10C6" w14:textId="77777777" w:rsidR="004577D8" w:rsidRPr="00B45667" w:rsidRDefault="00722C17" w:rsidP="004E6760">
      <w:pPr>
        <w:pStyle w:val="10"/>
      </w:pPr>
      <w:bookmarkStart w:id="16" w:name="bookmark17"/>
      <w:bookmarkStart w:id="17" w:name="bookmark18"/>
      <w:r w:rsidRPr="00B45667">
        <w:t>Результаты</w:t>
      </w:r>
      <w:bookmarkEnd w:id="16"/>
      <w:bookmarkEnd w:id="17"/>
    </w:p>
    <w:p w14:paraId="1F0D10C7" w14:textId="77777777" w:rsidR="004577D8" w:rsidRPr="00B45667" w:rsidRDefault="00722C17" w:rsidP="00367D06">
      <w:pPr>
        <w:pStyle w:val="22"/>
      </w:pPr>
      <w:bookmarkStart w:id="18" w:name="bookmark19"/>
      <w:bookmarkStart w:id="19" w:name="bookmark20"/>
      <w:r w:rsidRPr="00B45667">
        <w:t>Поиск литературы</w:t>
      </w:r>
      <w:bookmarkEnd w:id="18"/>
      <w:bookmarkEnd w:id="19"/>
    </w:p>
    <w:p w14:paraId="1F0D10C8" w14:textId="77777777" w:rsidR="004577D8" w:rsidRPr="00B45667" w:rsidRDefault="00722C17">
      <w:pPr>
        <w:pStyle w:val="20"/>
        <w:shd w:val="clear" w:color="auto" w:fill="auto"/>
      </w:pPr>
      <w:r w:rsidRPr="00B45667">
        <w:rPr>
          <w:lang w:bidi="ru-RU"/>
        </w:rPr>
        <w:t>Как показано на рис.</w:t>
      </w:r>
      <w:hyperlink w:anchor="bookmark23" w:tooltip="Текущий документ">
        <w:r w:rsidRPr="00B45667">
          <w:rPr>
            <w:lang w:bidi="ru-RU"/>
          </w:rPr>
          <w:t xml:space="preserve"> 1</w:t>
        </w:r>
      </w:hyperlink>
      <w:r w:rsidRPr="00B45667">
        <w:rPr>
          <w:lang w:bidi="ru-RU"/>
        </w:rPr>
        <w:t>, мы нашли 805 значимых статей в базе данных PubMed. Из них 795 статей были исключены по одной из следующих причин: 1) исследование не с участием человека; 2) обзор/метаанализ, редакционная статья или аннотация; 3) опубликовано не на английском языке; 4) исследование проведено не в общей популяции, а в группе пациентов с каким-либо заболеванием (например, с СД); 5) отсутствует оценка между концентрацией Mg в крови и изучаемым исходом; 6) иной дизайн, не соответствующий проспективному когортному исследованию; 7) исходно не исключены уже имеющиеся случаи. Кроме того, мы обнаружили еще одну статью в базе данных Google Scholar. Таким образом, 11 исследований было найдено и включено в метаанализ.</w:t>
      </w:r>
    </w:p>
    <w:tbl>
      <w:tblPr>
        <w:tblStyle w:val="af3"/>
        <w:tblpPr w:leftFromText="180" w:rightFromText="180" w:vertAnchor="text" w:horzAnchor="margin" w:tblpY="787"/>
        <w:tblOverlap w:val="never"/>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5003"/>
      </w:tblGrid>
      <w:tr w:rsidR="0074102F" w:rsidRPr="00B45667" w14:paraId="4E153537" w14:textId="77777777" w:rsidTr="0074102F">
        <w:tc>
          <w:tcPr>
            <w:tcW w:w="5000" w:type="pct"/>
          </w:tcPr>
          <w:bookmarkStart w:id="20" w:name="bookmark23"/>
          <w:bookmarkStart w:id="21" w:name="bookmark21"/>
          <w:bookmarkStart w:id="22" w:name="bookmark22"/>
          <w:p w14:paraId="5FB2167A" w14:textId="77777777" w:rsidR="0074102F" w:rsidRPr="00B45667" w:rsidRDefault="0074102F" w:rsidP="0074102F">
            <w:pPr>
              <w:pStyle w:val="20"/>
              <w:shd w:val="clear" w:color="auto" w:fill="auto"/>
              <w:spacing w:line="240" w:lineRule="auto"/>
            </w:pPr>
            <w:r w:rsidRPr="00B45667">
              <w:rPr>
                <w:noProof/>
                <w:lang w:eastAsia="ru-RU" w:bidi="ar-SA"/>
              </w:rPr>
              <mc:AlternateContent>
                <mc:Choice Requires="wpg">
                  <w:drawing>
                    <wp:inline distT="0" distB="0" distL="0" distR="0" wp14:anchorId="1EA7523A" wp14:editId="6A928DD4">
                      <wp:extent cx="3057144" cy="5504688"/>
                      <wp:effectExtent l="0" t="0" r="0" b="1270"/>
                      <wp:docPr id="5" name="Группа 12"/>
                      <wp:cNvGraphicFramePr/>
                      <a:graphic xmlns:a="http://schemas.openxmlformats.org/drawingml/2006/main">
                        <a:graphicData uri="http://schemas.microsoft.com/office/word/2010/wordprocessingGroup">
                          <wpg:wgp>
                            <wpg:cNvGrpSpPr/>
                            <wpg:grpSpPr>
                              <a:xfrm>
                                <a:off x="0" y="0"/>
                                <a:ext cx="3057144" cy="5504688"/>
                                <a:chOff x="0" y="0"/>
                                <a:chExt cx="3057144" cy="5504688"/>
                              </a:xfrm>
                            </wpg:grpSpPr>
                            <pic:pic xmlns:pic="http://schemas.openxmlformats.org/drawingml/2006/picture">
                              <pic:nvPicPr>
                                <pic:cNvPr id="7" name="Рисунок 7"/>
                                <pic:cNvPicPr>
                                  <a:picLocks noChangeAspect="1"/>
                                </pic:cNvPicPr>
                              </pic:nvPicPr>
                              <pic:blipFill>
                                <a:blip r:embed="rId20"/>
                                <a:stretch>
                                  <a:fillRect/>
                                </a:stretch>
                              </pic:blipFill>
                              <pic:spPr>
                                <a:xfrm>
                                  <a:off x="0" y="0"/>
                                  <a:ext cx="3057144" cy="5504688"/>
                                </a:xfrm>
                                <a:prstGeom prst="rect">
                                  <a:avLst/>
                                </a:prstGeom>
                              </pic:spPr>
                            </pic:pic>
                            <wps:wsp>
                              <wps:cNvPr id="10" name="Прямоугольник 10"/>
                              <wps:cNvSpPr/>
                              <wps:spPr>
                                <a:xfrm>
                                  <a:off x="280301" y="164517"/>
                                  <a:ext cx="2432050" cy="87630"/>
                                </a:xfrm>
                                <a:prstGeom prst="rect">
                                  <a:avLst/>
                                </a:prstGeom>
                                <a:solidFill>
                                  <a:srgbClr val="FFFFFF"/>
                                </a:solidFill>
                              </wps:spPr>
                              <wps:txbx>
                                <w:txbxContent>
                                  <w:p w14:paraId="6518148F"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 xml:space="preserve">Статьи, найденные при поиске в базе данных PubMed </w:t>
                                    </w:r>
                                    <w:r>
                                      <w:rPr>
                                        <w:rFonts w:cstheme="minorBidi"/>
                                        <w:i/>
                                        <w:color w:val="131413"/>
                                        <w:kern w:val="24"/>
                                        <w:sz w:val="12"/>
                                        <w:szCs w:val="12"/>
                                        <w:lang w:bidi="ru-RU"/>
                                      </w:rPr>
                                      <w:t>(n =</w:t>
                                    </w:r>
                                    <w:r>
                                      <w:rPr>
                                        <w:rFonts w:cstheme="minorBidi"/>
                                        <w:color w:val="131413"/>
                                        <w:kern w:val="24"/>
                                        <w:sz w:val="12"/>
                                        <w:szCs w:val="12"/>
                                        <w:lang w:bidi="ru-RU"/>
                                      </w:rPr>
                                      <w:t xml:space="preserve"> 805)</w:t>
                                    </w:r>
                                  </w:p>
                                </w:txbxContent>
                              </wps:txbx>
                              <wps:bodyPr wrap="square" lIns="0" tIns="0" rIns="0" bIns="0" anchor="ctr">
                                <a:spAutoFit/>
                              </wps:bodyPr>
                            </wps:wsp>
                            <wps:wsp>
                              <wps:cNvPr id="11" name="Прямоугольник 11"/>
                              <wps:cNvSpPr/>
                              <wps:spPr>
                                <a:xfrm>
                                  <a:off x="1014815" y="570677"/>
                                  <a:ext cx="1801495" cy="438150"/>
                                </a:xfrm>
                                <a:prstGeom prst="rect">
                                  <a:avLst/>
                                </a:prstGeom>
                                <a:solidFill>
                                  <a:srgbClr val="FFFFFF"/>
                                </a:solidFill>
                              </wps:spPr>
                              <wps:txbx>
                                <w:txbxContent>
                                  <w:p w14:paraId="67D9A3D7"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Исключены (</w:t>
                                    </w:r>
                                    <w:r>
                                      <w:rPr>
                                        <w:rFonts w:cstheme="minorBidi"/>
                                        <w:i/>
                                        <w:color w:val="131413"/>
                                        <w:kern w:val="24"/>
                                        <w:sz w:val="12"/>
                                        <w:szCs w:val="12"/>
                                        <w:lang w:bidi="ru-RU"/>
                                      </w:rPr>
                                      <w:t>n</w:t>
                                    </w:r>
                                    <w:r>
                                      <w:rPr>
                                        <w:rFonts w:cstheme="minorBidi"/>
                                        <w:color w:val="131413"/>
                                        <w:kern w:val="24"/>
                                        <w:sz w:val="12"/>
                                        <w:szCs w:val="12"/>
                                        <w:lang w:bidi="ru-RU"/>
                                      </w:rPr>
                                      <w:t xml:space="preserve"> = 330)</w:t>
                                    </w:r>
                                  </w:p>
                                  <w:p w14:paraId="236F4C8B"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Исследование не с участием человека (</w:t>
                                    </w:r>
                                    <w:r>
                                      <w:rPr>
                                        <w:rFonts w:cstheme="minorBidi"/>
                                        <w:i/>
                                        <w:color w:val="131413"/>
                                        <w:kern w:val="24"/>
                                        <w:sz w:val="12"/>
                                        <w:szCs w:val="12"/>
                                        <w:lang w:bidi="ru-RU"/>
                                      </w:rPr>
                                      <w:t>n</w:t>
                                    </w:r>
                                    <w:r>
                                      <w:rPr>
                                        <w:rFonts w:cstheme="minorBidi"/>
                                        <w:color w:val="131413"/>
                                        <w:kern w:val="24"/>
                                        <w:sz w:val="12"/>
                                        <w:szCs w:val="12"/>
                                        <w:lang w:bidi="ru-RU"/>
                                      </w:rPr>
                                      <w:t xml:space="preserve"> = 15)</w:t>
                                    </w:r>
                                  </w:p>
                                  <w:p w14:paraId="7FD83760"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Публикация не на английском языке (</w:t>
                                    </w:r>
                                    <w:r>
                                      <w:rPr>
                                        <w:rFonts w:cstheme="minorBidi"/>
                                        <w:i/>
                                        <w:color w:val="131413"/>
                                        <w:kern w:val="24"/>
                                        <w:sz w:val="12"/>
                                        <w:szCs w:val="12"/>
                                        <w:lang w:bidi="ru-RU"/>
                                      </w:rPr>
                                      <w:t>n</w:t>
                                    </w:r>
                                    <w:r>
                                      <w:rPr>
                                        <w:rFonts w:cstheme="minorBidi"/>
                                        <w:color w:val="131413"/>
                                        <w:kern w:val="24"/>
                                        <w:sz w:val="12"/>
                                        <w:szCs w:val="12"/>
                                        <w:lang w:bidi="ru-RU"/>
                                      </w:rPr>
                                      <w:t xml:space="preserve"> = 49)</w:t>
                                    </w:r>
                                  </w:p>
                                  <w:p w14:paraId="24D157A3"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Обзоры, метаанализы, клинические исследования, аннотации (</w:t>
                                    </w:r>
                                    <w:r>
                                      <w:rPr>
                                        <w:rFonts w:cstheme="minorBidi"/>
                                        <w:i/>
                                        <w:color w:val="131413"/>
                                        <w:kern w:val="24"/>
                                        <w:sz w:val="12"/>
                                        <w:szCs w:val="12"/>
                                        <w:lang w:bidi="ru-RU"/>
                                      </w:rPr>
                                      <w:t xml:space="preserve">n </w:t>
                                    </w:r>
                                    <w:r>
                                      <w:rPr>
                                        <w:rFonts w:cstheme="minorBidi"/>
                                        <w:color w:val="131413"/>
                                        <w:kern w:val="24"/>
                                        <w:sz w:val="12"/>
                                        <w:szCs w:val="12"/>
                                        <w:lang w:bidi="ru-RU"/>
                                      </w:rPr>
                                      <w:t>=266)</w:t>
                                    </w:r>
                                  </w:p>
                                </w:txbxContent>
                              </wps:txbx>
                              <wps:bodyPr lIns="0" tIns="0" rIns="0" bIns="0">
                                <a:spAutoFit/>
                              </wps:bodyPr>
                            </wps:wsp>
                            <wps:wsp>
                              <wps:cNvPr id="12" name="Прямоугольник 12"/>
                              <wps:cNvSpPr/>
                              <wps:spPr>
                                <a:xfrm>
                                  <a:off x="316940" y="1362204"/>
                                  <a:ext cx="1462405" cy="87630"/>
                                </a:xfrm>
                                <a:prstGeom prst="rect">
                                  <a:avLst/>
                                </a:prstGeom>
                                <a:solidFill>
                                  <a:srgbClr val="FFFFFF"/>
                                </a:solidFill>
                              </wps:spPr>
                              <wps:txbx>
                                <w:txbxContent>
                                  <w:p w14:paraId="0E1BC223"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Выбраны для просмотра аннотаций (</w:t>
                                    </w:r>
                                    <w:r>
                                      <w:rPr>
                                        <w:rFonts w:cstheme="minorBidi"/>
                                        <w:i/>
                                        <w:color w:val="131413"/>
                                        <w:kern w:val="24"/>
                                        <w:sz w:val="12"/>
                                        <w:szCs w:val="12"/>
                                        <w:lang w:bidi="ru-RU"/>
                                      </w:rPr>
                                      <w:t>n</w:t>
                                    </w:r>
                                    <w:r>
                                      <w:rPr>
                                        <w:rFonts w:cstheme="minorBidi"/>
                                        <w:color w:val="131413"/>
                                        <w:kern w:val="24"/>
                                        <w:sz w:val="12"/>
                                        <w:szCs w:val="12"/>
                                        <w:lang w:bidi="ru-RU"/>
                                      </w:rPr>
                                      <w:t xml:space="preserve"> = 475)</w:t>
                                    </w:r>
                                  </w:p>
                                </w:txbxContent>
                              </wps:txbx>
                              <wps:bodyPr wrap="none" lIns="0" tIns="0" rIns="0" bIns="0">
                                <a:spAutoFit/>
                              </wps:bodyPr>
                            </wps:wsp>
                            <wps:wsp>
                              <wps:cNvPr id="13" name="Прямоугольник 13"/>
                              <wps:cNvSpPr/>
                              <wps:spPr>
                                <a:xfrm>
                                  <a:off x="972069" y="1694220"/>
                                  <a:ext cx="1877718" cy="582930"/>
                                </a:xfrm>
                                <a:prstGeom prst="rect">
                                  <a:avLst/>
                                </a:prstGeom>
                                <a:solidFill>
                                  <a:srgbClr val="FFFFFF"/>
                                </a:solidFill>
                              </wps:spPr>
                              <wps:txbx>
                                <w:txbxContent>
                                  <w:p w14:paraId="59F37BD9" w14:textId="77777777" w:rsidR="0074102F" w:rsidRPr="005A517F" w:rsidRDefault="0074102F" w:rsidP="0074102F">
                                    <w:pPr>
                                      <w:pStyle w:val="af1"/>
                                      <w:spacing w:before="0" w:beforeAutospacing="0" w:after="0" w:afterAutospacing="0" w:line="266" w:lineRule="auto"/>
                                    </w:pPr>
                                    <w:r>
                                      <w:rPr>
                                        <w:rFonts w:cstheme="minorBidi"/>
                                        <w:color w:val="131413"/>
                                        <w:kern w:val="24"/>
                                        <w:sz w:val="12"/>
                                        <w:szCs w:val="12"/>
                                        <w:lang w:bidi="ru-RU"/>
                                      </w:rPr>
                                      <w:t>Исключены (</w:t>
                                    </w:r>
                                    <w:r>
                                      <w:rPr>
                                        <w:rFonts w:cstheme="minorBidi"/>
                                        <w:i/>
                                        <w:color w:val="131413"/>
                                        <w:kern w:val="24"/>
                                        <w:sz w:val="12"/>
                                        <w:szCs w:val="12"/>
                                        <w:lang w:bidi="ru-RU"/>
                                      </w:rPr>
                                      <w:t>n</w:t>
                                    </w:r>
                                    <w:r>
                                      <w:rPr>
                                        <w:rFonts w:cstheme="minorBidi"/>
                                        <w:color w:val="131413"/>
                                        <w:kern w:val="24"/>
                                        <w:sz w:val="12"/>
                                        <w:szCs w:val="12"/>
                                        <w:lang w:bidi="ru-RU"/>
                                      </w:rPr>
                                      <w:t xml:space="preserve"> = 380)</w:t>
                                    </w:r>
                                  </w:p>
                                  <w:p w14:paraId="6CE32A71"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Проведены не в общей популяции (</w:t>
                                    </w:r>
                                    <w:r>
                                      <w:rPr>
                                        <w:rFonts w:cstheme="minorBidi"/>
                                        <w:i/>
                                        <w:color w:val="131413"/>
                                        <w:kern w:val="24"/>
                                        <w:sz w:val="12"/>
                                        <w:szCs w:val="12"/>
                                        <w:lang w:bidi="ru-RU"/>
                                      </w:rPr>
                                      <w:t>n</w:t>
                                    </w:r>
                                    <w:r>
                                      <w:rPr>
                                        <w:rFonts w:cstheme="minorBidi"/>
                                        <w:color w:val="131413"/>
                                        <w:kern w:val="24"/>
                                        <w:sz w:val="12"/>
                                        <w:szCs w:val="12"/>
                                        <w:lang w:bidi="ru-RU"/>
                                      </w:rPr>
                                      <w:t xml:space="preserve"> = 221)</w:t>
                                    </w:r>
                                  </w:p>
                                  <w:p w14:paraId="61E01F7E"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Не являются проспективными когортными исследованиями (</w:t>
                                    </w:r>
                                    <w:r>
                                      <w:rPr>
                                        <w:rFonts w:cstheme="minorBidi"/>
                                        <w:i/>
                                        <w:color w:val="131413"/>
                                        <w:kern w:val="24"/>
                                        <w:sz w:val="12"/>
                                        <w:szCs w:val="12"/>
                                        <w:lang w:bidi="ru-RU"/>
                                      </w:rPr>
                                      <w:t>n</w:t>
                                    </w:r>
                                    <w:r>
                                      <w:rPr>
                                        <w:rFonts w:cstheme="minorBidi"/>
                                        <w:color w:val="131413"/>
                                        <w:kern w:val="24"/>
                                        <w:sz w:val="12"/>
                                        <w:szCs w:val="12"/>
                                        <w:lang w:bidi="ru-RU"/>
                                      </w:rPr>
                                      <w:t xml:space="preserve"> =87)</w:t>
                                    </w:r>
                                  </w:p>
                                  <w:p w14:paraId="6E251B15"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В качестве исходов не рассматривались СД 2 типа, ИБС или АГ (</w:t>
                                    </w:r>
                                    <w:r>
                                      <w:rPr>
                                        <w:rFonts w:cstheme="minorBidi"/>
                                        <w:i/>
                                        <w:color w:val="131413"/>
                                        <w:kern w:val="24"/>
                                        <w:sz w:val="12"/>
                                        <w:szCs w:val="12"/>
                                        <w:lang w:bidi="ru-RU"/>
                                      </w:rPr>
                                      <w:t>n</w:t>
                                    </w:r>
                                    <w:r>
                                      <w:rPr>
                                        <w:rFonts w:cstheme="minorBidi"/>
                                        <w:color w:val="131413"/>
                                        <w:kern w:val="24"/>
                                        <w:sz w:val="12"/>
                                        <w:szCs w:val="12"/>
                                        <w:lang w:bidi="ru-RU"/>
                                      </w:rPr>
                                      <w:t xml:space="preserve"> =72)</w:t>
                                    </w:r>
                                  </w:p>
                                </w:txbxContent>
                              </wps:txbx>
                              <wps:bodyPr wrap="square" lIns="0" tIns="0" rIns="0" bIns="0">
                                <a:spAutoFit/>
                              </wps:bodyPr>
                            </wps:wsp>
                            <wps:wsp>
                              <wps:cNvPr id="14" name="Прямоугольник 14"/>
                              <wps:cNvSpPr/>
                              <wps:spPr>
                                <a:xfrm>
                                  <a:off x="310766" y="2498205"/>
                                  <a:ext cx="2538730" cy="87630"/>
                                </a:xfrm>
                                <a:prstGeom prst="rect">
                                  <a:avLst/>
                                </a:prstGeom>
                                <a:solidFill>
                                  <a:srgbClr val="FFFFFF"/>
                                </a:solidFill>
                              </wps:spPr>
                              <wps:txbx>
                                <w:txbxContent>
                                  <w:p w14:paraId="208CED91"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Выбраны для просмотра полнотекстовых версий (</w:t>
                                    </w:r>
                                    <w:r>
                                      <w:rPr>
                                        <w:rFonts w:cstheme="minorBidi"/>
                                        <w:i/>
                                        <w:color w:val="131413"/>
                                        <w:kern w:val="24"/>
                                        <w:sz w:val="12"/>
                                        <w:szCs w:val="12"/>
                                        <w:lang w:bidi="ru-RU"/>
                                      </w:rPr>
                                      <w:t>n</w:t>
                                    </w:r>
                                    <w:r>
                                      <w:rPr>
                                        <w:rFonts w:cstheme="minorBidi"/>
                                        <w:color w:val="131413"/>
                                        <w:kern w:val="24"/>
                                        <w:sz w:val="12"/>
                                        <w:szCs w:val="12"/>
                                        <w:lang w:bidi="ru-RU"/>
                                      </w:rPr>
                                      <w:t xml:space="preserve"> = 95)</w:t>
                                    </w:r>
                                  </w:p>
                                </w:txbxContent>
                              </wps:txbx>
                              <wps:bodyPr wrap="square" lIns="0" tIns="0" rIns="0" bIns="0">
                                <a:spAutoFit/>
                              </wps:bodyPr>
                            </wps:wsp>
                            <wps:wsp>
                              <wps:cNvPr id="15" name="Прямоугольник 15"/>
                              <wps:cNvSpPr/>
                              <wps:spPr>
                                <a:xfrm>
                                  <a:off x="1014815" y="2781799"/>
                                  <a:ext cx="1834515" cy="622935"/>
                                </a:xfrm>
                                <a:prstGeom prst="rect">
                                  <a:avLst/>
                                </a:prstGeom>
                                <a:noFill/>
                              </wps:spPr>
                              <wps:txbx>
                                <w:txbxContent>
                                  <w:p w14:paraId="59828DBE" w14:textId="77777777" w:rsidR="0074102F" w:rsidRPr="00C536E1" w:rsidRDefault="0074102F" w:rsidP="0074102F">
                                    <w:pPr>
                                      <w:pStyle w:val="af1"/>
                                      <w:spacing w:before="0" w:beforeAutospacing="0" w:after="0" w:afterAutospacing="0" w:line="266" w:lineRule="auto"/>
                                      <w:rPr>
                                        <w:sz w:val="11"/>
                                        <w:szCs w:val="11"/>
                                      </w:rPr>
                                    </w:pPr>
                                    <w:r w:rsidRPr="00C536E1">
                                      <w:rPr>
                                        <w:rFonts w:cstheme="minorBidi"/>
                                        <w:color w:val="131413"/>
                                        <w:kern w:val="24"/>
                                        <w:sz w:val="11"/>
                                        <w:szCs w:val="11"/>
                                        <w:lang w:bidi="ru-RU"/>
                                      </w:rPr>
                                      <w:t>Исключены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85)</w:t>
                                    </w:r>
                                  </w:p>
                                  <w:p w14:paraId="0084A977"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Магний не указан в качестве изучаемого воздействия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47)</w:t>
                                    </w:r>
                                  </w:p>
                                  <w:p w14:paraId="7C65DBDF"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Не указана концентрация магния в сыворотке крови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36)</w:t>
                                    </w:r>
                                  </w:p>
                                  <w:p w14:paraId="6AB0E934"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Пациенты с ишемической болезнью сердца исходно не исключены из исследования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=2)</w:t>
                                    </w:r>
                                  </w:p>
                                </w:txbxContent>
                              </wps:txbx>
                              <wps:bodyPr wrap="square" lIns="0" tIns="0" rIns="0" bIns="0">
                                <a:spAutoFit/>
                              </wps:bodyPr>
                            </wps:wsp>
                            <wps:wsp>
                              <wps:cNvPr id="16" name="Прямоугольник 16"/>
                              <wps:cNvSpPr/>
                              <wps:spPr>
                                <a:xfrm>
                                  <a:off x="344366" y="3538074"/>
                                  <a:ext cx="1423670" cy="87630"/>
                                </a:xfrm>
                                <a:prstGeom prst="rect">
                                  <a:avLst/>
                                </a:prstGeom>
                                <a:solidFill>
                                  <a:srgbClr val="FFFFFF"/>
                                </a:solidFill>
                              </wps:spPr>
                              <wps:txbx>
                                <w:txbxContent>
                                  <w:p w14:paraId="1FEF6A8D"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Отобраны после просмотра текстов (</w:t>
                                    </w:r>
                                    <w:r>
                                      <w:rPr>
                                        <w:rFonts w:cstheme="minorBidi"/>
                                        <w:i/>
                                        <w:color w:val="131413"/>
                                        <w:kern w:val="24"/>
                                        <w:sz w:val="12"/>
                                        <w:szCs w:val="12"/>
                                        <w:lang w:bidi="ru-RU"/>
                                      </w:rPr>
                                      <w:t>n</w:t>
                                    </w:r>
                                    <w:r>
                                      <w:rPr>
                                        <w:rFonts w:cstheme="minorBidi"/>
                                        <w:color w:val="131413"/>
                                        <w:kern w:val="24"/>
                                        <w:sz w:val="12"/>
                                        <w:szCs w:val="12"/>
                                        <w:lang w:bidi="ru-RU"/>
                                      </w:rPr>
                                      <w:t xml:space="preserve"> = 10)</w:t>
                                    </w:r>
                                  </w:p>
                                </w:txbxContent>
                              </wps:txbx>
                              <wps:bodyPr wrap="none" lIns="0" tIns="0" rIns="0" bIns="0">
                                <a:spAutoFit/>
                              </wps:bodyPr>
                            </wps:wsp>
                            <wps:wsp>
                              <wps:cNvPr id="17" name="Прямоугольник 17"/>
                              <wps:cNvSpPr/>
                              <wps:spPr>
                                <a:xfrm>
                                  <a:off x="1002460" y="3842464"/>
                                  <a:ext cx="1845945" cy="369570"/>
                                </a:xfrm>
                                <a:prstGeom prst="rect">
                                  <a:avLst/>
                                </a:prstGeom>
                                <a:noFill/>
                              </wps:spPr>
                              <wps:txbx>
                                <w:txbxContent>
                                  <w:p w14:paraId="3ED763F6" w14:textId="77777777" w:rsidR="0074102F" w:rsidRPr="00C536E1" w:rsidRDefault="0074102F" w:rsidP="0074102F">
                                    <w:pPr>
                                      <w:pStyle w:val="af1"/>
                                      <w:spacing w:before="0" w:beforeAutospacing="0" w:after="0" w:afterAutospacing="0" w:line="276" w:lineRule="auto"/>
                                      <w:rPr>
                                        <w:sz w:val="11"/>
                                        <w:szCs w:val="11"/>
                                      </w:rPr>
                                    </w:pPr>
                                    <w:r w:rsidRPr="00C536E1">
                                      <w:rPr>
                                        <w:rFonts w:cstheme="minorBidi"/>
                                        <w:color w:val="131413"/>
                                        <w:kern w:val="24"/>
                                        <w:sz w:val="11"/>
                                        <w:szCs w:val="11"/>
                                        <w:lang w:bidi="ru-RU"/>
                                      </w:rPr>
                                      <w:t>Добавлены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1)</w:t>
                                    </w:r>
                                  </w:p>
                                  <w:p w14:paraId="6822ABCE" w14:textId="77777777" w:rsidR="0074102F" w:rsidRPr="00C536E1" w:rsidRDefault="0074102F" w:rsidP="0074102F">
                                    <w:pPr>
                                      <w:pStyle w:val="af1"/>
                                      <w:spacing w:before="0" w:beforeAutospacing="0" w:after="0" w:afterAutospacing="0" w:line="276" w:lineRule="auto"/>
                                      <w:ind w:left="142" w:hanging="142"/>
                                      <w:rPr>
                                        <w:sz w:val="11"/>
                                        <w:szCs w:val="11"/>
                                      </w:rPr>
                                    </w:pPr>
                                    <w:r w:rsidRPr="00C536E1">
                                      <w:rPr>
                                        <w:rFonts w:cstheme="minorBidi"/>
                                        <w:color w:val="131413"/>
                                        <w:kern w:val="24"/>
                                        <w:sz w:val="11"/>
                                        <w:szCs w:val="11"/>
                                        <w:lang w:bidi="ru-RU"/>
                                      </w:rPr>
                                      <w:t>В результате поиска по базам данных EmBase, SCOPUS, Google Scholar или ручного поиска по спискам литературы.</w:t>
                                    </w:r>
                                  </w:p>
                                </w:txbxContent>
                              </wps:txbx>
                              <wps:bodyPr wrap="square" lIns="0" tIns="0" rIns="0" bIns="0">
                                <a:spAutoFit/>
                              </wps:bodyPr>
                            </wps:wsp>
                            <wps:wsp>
                              <wps:cNvPr id="18" name="Прямоугольник 18"/>
                              <wps:cNvSpPr/>
                              <wps:spPr>
                                <a:xfrm>
                                  <a:off x="322980" y="4424064"/>
                                  <a:ext cx="2559685" cy="350520"/>
                                </a:xfrm>
                                <a:prstGeom prst="rect">
                                  <a:avLst/>
                                </a:prstGeom>
                                <a:solidFill>
                                  <a:srgbClr val="FFFFFF"/>
                                </a:solidFill>
                              </wps:spPr>
                              <wps:txbx>
                                <w:txbxContent>
                                  <w:p w14:paraId="1525FD11"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Включены в метаанализ (</w:t>
                                    </w:r>
                                    <w:r>
                                      <w:rPr>
                                        <w:rFonts w:cstheme="minorBidi"/>
                                        <w:i/>
                                        <w:color w:val="131413"/>
                                        <w:kern w:val="24"/>
                                        <w:sz w:val="12"/>
                                        <w:szCs w:val="12"/>
                                        <w:lang w:bidi="ru-RU"/>
                                      </w:rPr>
                                      <w:t>n</w:t>
                                    </w:r>
                                    <w:r>
                                      <w:rPr>
                                        <w:rFonts w:cstheme="minorBidi"/>
                                        <w:color w:val="131413"/>
                                        <w:kern w:val="24"/>
                                        <w:sz w:val="12"/>
                                        <w:szCs w:val="12"/>
                                        <w:lang w:bidi="ru-RU"/>
                                      </w:rPr>
                                      <w:t xml:space="preserve"> = 11)</w:t>
                                    </w:r>
                                  </w:p>
                                  <w:p w14:paraId="6D6A38FC"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5 описана частота развития ишемической болезни сердца</w:t>
                                    </w:r>
                                  </w:p>
                                  <w:p w14:paraId="1F190426"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3 описана частота развития артериальной гипертензии</w:t>
                                    </w:r>
                                  </w:p>
                                  <w:p w14:paraId="1DC0EF29"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4 описана частота развития сахарного диабета 2 типа</w:t>
                                    </w:r>
                                  </w:p>
                                </w:txbxContent>
                              </wps:txbx>
                              <wps:bodyPr wrap="square" lIns="0" tIns="0" rIns="0" bIns="0">
                                <a:spAutoFit/>
                              </wps:bodyPr>
                            </wps:wsp>
                            <wps:wsp>
                              <wps:cNvPr id="19" name="Прямоугольник 19"/>
                              <wps:cNvSpPr/>
                              <wps:spPr>
                                <a:xfrm>
                                  <a:off x="163122" y="4946267"/>
                                  <a:ext cx="2811145" cy="408940"/>
                                </a:xfrm>
                                <a:prstGeom prst="rect">
                                  <a:avLst/>
                                </a:prstGeom>
                                <a:solidFill>
                                  <a:srgbClr val="FFFFFF"/>
                                </a:solidFill>
                              </wps:spPr>
                              <wps:txbx>
                                <w:txbxContent>
                                  <w:p w14:paraId="0DA3CB11" w14:textId="77777777" w:rsidR="0074102F" w:rsidRPr="0074102F" w:rsidRDefault="0074102F" w:rsidP="0074102F">
                                    <w:pPr>
                                      <w:pStyle w:val="af1"/>
                                      <w:spacing w:before="0" w:beforeAutospacing="0" w:after="0" w:afterAutospacing="0"/>
                                      <w:jc w:val="both"/>
                                    </w:pPr>
                                    <w:r w:rsidRPr="0074102F">
                                      <w:rPr>
                                        <w:rFonts w:eastAsia="Segoe UI"/>
                                        <w:color w:val="131413"/>
                                        <w:kern w:val="24"/>
                                        <w:sz w:val="14"/>
                                        <w:szCs w:val="14"/>
                                        <w:lang w:bidi="ru-RU"/>
                                      </w:rPr>
                                      <w:t>Рис. 1. Процесс отбора исследований Статьи были найдены в результате поиска по базам данных PubMed (</w:t>
                                    </w:r>
                                    <w:hyperlink r:id="rId21" w:history="1">
                                      <w:r w:rsidRPr="0074102F">
                                        <w:rPr>
                                          <w:rStyle w:val="af2"/>
                                          <w:rFonts w:eastAsia="Segoe UI"/>
                                          <w:color w:val="131413"/>
                                          <w:kern w:val="24"/>
                                          <w:sz w:val="14"/>
                                          <w:szCs w:val="14"/>
                                          <w:lang w:bidi="ru-RU"/>
                                        </w:rPr>
                                        <w:t>http://www.ncbi.nlm.nih.gov/pubmed</w:t>
                                      </w:r>
                                    </w:hyperlink>
                                    <w:r w:rsidRPr="0074102F">
                                      <w:rPr>
                                        <w:rFonts w:eastAsia="Segoe UI"/>
                                        <w:color w:val="131413"/>
                                        <w:kern w:val="24"/>
                                        <w:sz w:val="14"/>
                                        <w:szCs w:val="14"/>
                                        <w:lang w:bidi="ru-RU"/>
                                      </w:rPr>
                                      <w:t>), EmBase (</w:t>
                                    </w:r>
                                    <w:hyperlink r:id="rId22" w:history="1">
                                      <w:r w:rsidRPr="0074102F">
                                        <w:rPr>
                                          <w:rStyle w:val="af2"/>
                                          <w:rFonts w:eastAsia="Segoe UI"/>
                                          <w:color w:val="131413"/>
                                          <w:kern w:val="24"/>
                                          <w:sz w:val="14"/>
                                          <w:szCs w:val="14"/>
                                          <w:lang w:bidi="ru-RU"/>
                                        </w:rPr>
                                        <w:t>http://</w:t>
                                      </w:r>
                                    </w:hyperlink>
                                    <w:r w:rsidRPr="0074102F">
                                      <w:rPr>
                                        <w:rFonts w:eastAsia="Segoe UI"/>
                                        <w:color w:val="131413"/>
                                        <w:kern w:val="24"/>
                                        <w:sz w:val="14"/>
                                        <w:szCs w:val="14"/>
                                        <w:lang w:bidi="ru-RU"/>
                                      </w:rPr>
                                      <w:t xml:space="preserve"> </w:t>
                                    </w:r>
                                    <w:hyperlink r:id="rId23" w:history="1">
                                      <w:r w:rsidRPr="0074102F">
                                        <w:rPr>
                                          <w:rStyle w:val="af2"/>
                                          <w:rFonts w:eastAsia="Segoe UI"/>
                                          <w:color w:val="131413"/>
                                          <w:kern w:val="24"/>
                                          <w:sz w:val="14"/>
                                          <w:szCs w:val="14"/>
                                          <w:lang w:bidi="ru-RU"/>
                                        </w:rPr>
                                        <w:t>www.elsevier.com/online-tools/embase</w:t>
                                      </w:r>
                                    </w:hyperlink>
                                    <w:r w:rsidRPr="0074102F">
                                      <w:rPr>
                                        <w:rFonts w:eastAsia="Segoe UI"/>
                                        <w:color w:val="131413"/>
                                        <w:kern w:val="24"/>
                                        <w:sz w:val="14"/>
                                        <w:szCs w:val="14"/>
                                        <w:lang w:bidi="ru-RU"/>
                                      </w:rPr>
                                      <w:t>), SCOPUS (</w:t>
                                    </w:r>
                                    <w:hyperlink r:id="rId24" w:history="1">
                                      <w:r w:rsidRPr="0074102F">
                                        <w:rPr>
                                          <w:rStyle w:val="af2"/>
                                          <w:rFonts w:eastAsia="Segoe UI"/>
                                          <w:color w:val="131413"/>
                                          <w:kern w:val="24"/>
                                          <w:sz w:val="14"/>
                                          <w:szCs w:val="14"/>
                                          <w:lang w:bidi="ru-RU"/>
                                        </w:rPr>
                                        <w:t>https://</w:t>
                                      </w:r>
                                    </w:hyperlink>
                                    <w:r w:rsidRPr="0074102F">
                                      <w:rPr>
                                        <w:rFonts w:eastAsia="Segoe UI"/>
                                        <w:color w:val="131413"/>
                                        <w:kern w:val="24"/>
                                        <w:sz w:val="14"/>
                                        <w:szCs w:val="14"/>
                                        <w:lang w:bidi="ru-RU"/>
                                      </w:rPr>
                                      <w:t xml:space="preserve"> </w:t>
                                    </w:r>
                                    <w:hyperlink r:id="rId25" w:history="1">
                                      <w:r w:rsidRPr="0074102F">
                                        <w:rPr>
                                          <w:rStyle w:val="af2"/>
                                          <w:rFonts w:eastAsia="Segoe UI"/>
                                          <w:color w:val="131413"/>
                                          <w:kern w:val="24"/>
                                          <w:sz w:val="14"/>
                                          <w:szCs w:val="14"/>
                                          <w:lang w:bidi="ru-RU"/>
                                        </w:rPr>
                                        <w:t>www.scopus.com/</w:t>
                                      </w:r>
                                    </w:hyperlink>
                                    <w:r w:rsidRPr="0074102F">
                                      <w:rPr>
                                        <w:rFonts w:eastAsia="Segoe UI"/>
                                        <w:color w:val="131413"/>
                                        <w:kern w:val="24"/>
                                        <w:sz w:val="14"/>
                                        <w:szCs w:val="14"/>
                                        <w:lang w:bidi="ru-RU"/>
                                      </w:rPr>
                                      <w:t>) и Google Scholar (</w:t>
                                    </w:r>
                                    <w:hyperlink r:id="rId26" w:history="1">
                                      <w:r w:rsidRPr="0074102F">
                                        <w:rPr>
                                          <w:rStyle w:val="af2"/>
                                          <w:rFonts w:eastAsia="Segoe UI"/>
                                          <w:color w:val="131413"/>
                                          <w:kern w:val="24"/>
                                          <w:sz w:val="14"/>
                                          <w:szCs w:val="14"/>
                                          <w:lang w:bidi="ru-RU"/>
                                        </w:rPr>
                                        <w:t>http://scholar.google.com</w:t>
                                      </w:r>
                                    </w:hyperlink>
                                    <w:r w:rsidRPr="0074102F">
                                      <w:rPr>
                                        <w:rFonts w:eastAsia="Segoe UI"/>
                                        <w:color w:val="131413"/>
                                        <w:kern w:val="24"/>
                                        <w:sz w:val="14"/>
                                        <w:szCs w:val="14"/>
                                        <w:lang w:bidi="ru-RU"/>
                                      </w:rPr>
                                      <w:t>)</w:t>
                                    </w:r>
                                  </w:p>
                                </w:txbxContent>
                              </wps:txbx>
                              <wps:bodyPr lIns="0" tIns="0" rIns="0" bIns="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7523A" id="Группа 12" o:spid="_x0000_s1026" style="width:240.7pt;height:433.45pt;mso-position-horizontal-relative:char;mso-position-vertical-relative:line" coordsize="30571,5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30571;height:5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">
                        <v:imagedata r:id="rId27" o:title=""/>
                      </v:shape>
                      <v:rect id="Прямоугольник 10" o:spid="_x0000_s1028" style="position:absolute;left:2803;top:1645;width:24320;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" stroked="f">
                        <v:textbox style="mso-fit-shape-to-text:t" inset="0,0,0,0">
                          <w:txbxContent>
                            <w:p w14:paraId="6518148F"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 xml:space="preserve">Статьи, найденные при поиске в базе данных PubMed </w:t>
                              </w:r>
                              <w:r>
                                <w:rPr>
                                  <w:rFonts w:cstheme="minorBidi"/>
                                  <w:i/>
                                  <w:color w:val="131413"/>
                                  <w:kern w:val="24"/>
                                  <w:sz w:val="12"/>
                                  <w:szCs w:val="12"/>
                                  <w:lang w:bidi="ru-RU"/>
                                </w:rPr>
                                <w:t>(n =</w:t>
                              </w:r>
                              <w:r>
                                <w:rPr>
                                  <w:rFonts w:cstheme="minorBidi"/>
                                  <w:color w:val="131413"/>
                                  <w:kern w:val="24"/>
                                  <w:sz w:val="12"/>
                                  <w:szCs w:val="12"/>
                                  <w:lang w:bidi="ru-RU"/>
                                </w:rPr>
                                <w:t xml:space="preserve"> 805)</w:t>
                              </w:r>
                            </w:p>
                          </w:txbxContent>
                        </v:textbox>
                      </v:rect>
                      <v:rect id="Прямоугольник 11" o:spid="_x0000_s1029" style="position:absolute;left:10148;top:5706;width:1801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" stroked="f">
                        <v:textbox style="mso-fit-shape-to-text:t" inset="0,0,0,0">
                          <w:txbxContent>
                            <w:p w14:paraId="67D9A3D7"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Исключены (</w:t>
                              </w:r>
                              <w:r>
                                <w:rPr>
                                  <w:rFonts w:cstheme="minorBidi"/>
                                  <w:i/>
                                  <w:color w:val="131413"/>
                                  <w:kern w:val="24"/>
                                  <w:sz w:val="12"/>
                                  <w:szCs w:val="12"/>
                                  <w:lang w:bidi="ru-RU"/>
                                </w:rPr>
                                <w:t>n</w:t>
                              </w:r>
                              <w:r>
                                <w:rPr>
                                  <w:rFonts w:cstheme="minorBidi"/>
                                  <w:color w:val="131413"/>
                                  <w:kern w:val="24"/>
                                  <w:sz w:val="12"/>
                                  <w:szCs w:val="12"/>
                                  <w:lang w:bidi="ru-RU"/>
                                </w:rPr>
                                <w:t xml:space="preserve"> = 330)</w:t>
                              </w:r>
                            </w:p>
                            <w:p w14:paraId="236F4C8B"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Исследование не с участием человека (</w:t>
                              </w:r>
                              <w:r>
                                <w:rPr>
                                  <w:rFonts w:cstheme="minorBidi"/>
                                  <w:i/>
                                  <w:color w:val="131413"/>
                                  <w:kern w:val="24"/>
                                  <w:sz w:val="12"/>
                                  <w:szCs w:val="12"/>
                                  <w:lang w:bidi="ru-RU"/>
                                </w:rPr>
                                <w:t>n</w:t>
                              </w:r>
                              <w:r>
                                <w:rPr>
                                  <w:rFonts w:cstheme="minorBidi"/>
                                  <w:color w:val="131413"/>
                                  <w:kern w:val="24"/>
                                  <w:sz w:val="12"/>
                                  <w:szCs w:val="12"/>
                                  <w:lang w:bidi="ru-RU"/>
                                </w:rPr>
                                <w:t xml:space="preserve"> = 15)</w:t>
                              </w:r>
                            </w:p>
                            <w:p w14:paraId="7FD83760"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Публикация не на английском языке (</w:t>
                              </w:r>
                              <w:r>
                                <w:rPr>
                                  <w:rFonts w:cstheme="minorBidi"/>
                                  <w:i/>
                                  <w:color w:val="131413"/>
                                  <w:kern w:val="24"/>
                                  <w:sz w:val="12"/>
                                  <w:szCs w:val="12"/>
                                  <w:lang w:bidi="ru-RU"/>
                                </w:rPr>
                                <w:t>n</w:t>
                              </w:r>
                              <w:r>
                                <w:rPr>
                                  <w:rFonts w:cstheme="minorBidi"/>
                                  <w:color w:val="131413"/>
                                  <w:kern w:val="24"/>
                                  <w:sz w:val="12"/>
                                  <w:szCs w:val="12"/>
                                  <w:lang w:bidi="ru-RU"/>
                                </w:rPr>
                                <w:t xml:space="preserve"> = 49)</w:t>
                              </w:r>
                            </w:p>
                            <w:p w14:paraId="24D157A3" w14:textId="77777777" w:rsidR="0074102F" w:rsidRPr="005A517F" w:rsidRDefault="0074102F" w:rsidP="0074102F">
                              <w:pPr>
                                <w:pStyle w:val="af1"/>
                                <w:spacing w:before="0" w:beforeAutospacing="0" w:after="0" w:afterAutospacing="0"/>
                                <w:ind w:left="142"/>
                              </w:pPr>
                              <w:r>
                                <w:rPr>
                                  <w:rFonts w:cstheme="minorBidi"/>
                                  <w:color w:val="131413"/>
                                  <w:kern w:val="24"/>
                                  <w:sz w:val="12"/>
                                  <w:szCs w:val="12"/>
                                  <w:lang w:bidi="ru-RU"/>
                                </w:rPr>
                                <w:t>Обзоры, метаанализы, клинические исследования, аннотации (</w:t>
                              </w:r>
                              <w:r>
                                <w:rPr>
                                  <w:rFonts w:cstheme="minorBidi"/>
                                  <w:i/>
                                  <w:color w:val="131413"/>
                                  <w:kern w:val="24"/>
                                  <w:sz w:val="12"/>
                                  <w:szCs w:val="12"/>
                                  <w:lang w:bidi="ru-RU"/>
                                </w:rPr>
                                <w:t xml:space="preserve">n </w:t>
                              </w:r>
                              <w:r>
                                <w:rPr>
                                  <w:rFonts w:cstheme="minorBidi"/>
                                  <w:color w:val="131413"/>
                                  <w:kern w:val="24"/>
                                  <w:sz w:val="12"/>
                                  <w:szCs w:val="12"/>
                                  <w:lang w:bidi="ru-RU"/>
                                </w:rPr>
                                <w:t>=266)</w:t>
                              </w:r>
                            </w:p>
                          </w:txbxContent>
                        </v:textbox>
                      </v:rect>
                      <v:rect id="Прямоугольник 12" o:spid="_x0000_s1030" style="position:absolute;left:3169;top:13622;width:1462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" stroked="f">
                        <v:textbox style="mso-fit-shape-to-text:t" inset="0,0,0,0">
                          <w:txbxContent>
                            <w:p w14:paraId="0E1BC223"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Выбраны для просмотра аннотаций (</w:t>
                              </w:r>
                              <w:r>
                                <w:rPr>
                                  <w:rFonts w:cstheme="minorBidi"/>
                                  <w:i/>
                                  <w:color w:val="131413"/>
                                  <w:kern w:val="24"/>
                                  <w:sz w:val="12"/>
                                  <w:szCs w:val="12"/>
                                  <w:lang w:bidi="ru-RU"/>
                                </w:rPr>
                                <w:t>n</w:t>
                              </w:r>
                              <w:r>
                                <w:rPr>
                                  <w:rFonts w:cstheme="minorBidi"/>
                                  <w:color w:val="131413"/>
                                  <w:kern w:val="24"/>
                                  <w:sz w:val="12"/>
                                  <w:szCs w:val="12"/>
                                  <w:lang w:bidi="ru-RU"/>
                                </w:rPr>
                                <w:t xml:space="preserve"> = 475)</w:t>
                              </w:r>
                            </w:p>
                          </w:txbxContent>
                        </v:textbox>
                      </v:rect>
                      <v:rect id="Прямоугольник 13" o:spid="_x0000_s1031" style="position:absolute;left:9720;top:16942;width:1877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" stroked="f">
                        <v:textbox style="mso-fit-shape-to-text:t" inset="0,0,0,0">
                          <w:txbxContent>
                            <w:p w14:paraId="59F37BD9" w14:textId="77777777" w:rsidR="0074102F" w:rsidRPr="005A517F" w:rsidRDefault="0074102F" w:rsidP="0074102F">
                              <w:pPr>
                                <w:pStyle w:val="af1"/>
                                <w:spacing w:before="0" w:beforeAutospacing="0" w:after="0" w:afterAutospacing="0" w:line="266" w:lineRule="auto"/>
                              </w:pPr>
                              <w:r>
                                <w:rPr>
                                  <w:rFonts w:cstheme="minorBidi"/>
                                  <w:color w:val="131413"/>
                                  <w:kern w:val="24"/>
                                  <w:sz w:val="12"/>
                                  <w:szCs w:val="12"/>
                                  <w:lang w:bidi="ru-RU"/>
                                </w:rPr>
                                <w:t>Исключены (</w:t>
                              </w:r>
                              <w:r>
                                <w:rPr>
                                  <w:rFonts w:cstheme="minorBidi"/>
                                  <w:i/>
                                  <w:color w:val="131413"/>
                                  <w:kern w:val="24"/>
                                  <w:sz w:val="12"/>
                                  <w:szCs w:val="12"/>
                                  <w:lang w:bidi="ru-RU"/>
                                </w:rPr>
                                <w:t>n</w:t>
                              </w:r>
                              <w:r>
                                <w:rPr>
                                  <w:rFonts w:cstheme="minorBidi"/>
                                  <w:color w:val="131413"/>
                                  <w:kern w:val="24"/>
                                  <w:sz w:val="12"/>
                                  <w:szCs w:val="12"/>
                                  <w:lang w:bidi="ru-RU"/>
                                </w:rPr>
                                <w:t xml:space="preserve"> = 380)</w:t>
                              </w:r>
                            </w:p>
                            <w:p w14:paraId="6CE32A71"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Проведены не в общей популяции (</w:t>
                              </w:r>
                              <w:r>
                                <w:rPr>
                                  <w:rFonts w:cstheme="minorBidi"/>
                                  <w:i/>
                                  <w:color w:val="131413"/>
                                  <w:kern w:val="24"/>
                                  <w:sz w:val="12"/>
                                  <w:szCs w:val="12"/>
                                  <w:lang w:bidi="ru-RU"/>
                                </w:rPr>
                                <w:t>n</w:t>
                              </w:r>
                              <w:r>
                                <w:rPr>
                                  <w:rFonts w:cstheme="minorBidi"/>
                                  <w:color w:val="131413"/>
                                  <w:kern w:val="24"/>
                                  <w:sz w:val="12"/>
                                  <w:szCs w:val="12"/>
                                  <w:lang w:bidi="ru-RU"/>
                                </w:rPr>
                                <w:t xml:space="preserve"> = 221)</w:t>
                              </w:r>
                            </w:p>
                            <w:p w14:paraId="61E01F7E"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Не являются проспективными когортными исследованиями (</w:t>
                              </w:r>
                              <w:r>
                                <w:rPr>
                                  <w:rFonts w:cstheme="minorBidi"/>
                                  <w:i/>
                                  <w:color w:val="131413"/>
                                  <w:kern w:val="24"/>
                                  <w:sz w:val="12"/>
                                  <w:szCs w:val="12"/>
                                  <w:lang w:bidi="ru-RU"/>
                                </w:rPr>
                                <w:t>n</w:t>
                              </w:r>
                              <w:r>
                                <w:rPr>
                                  <w:rFonts w:cstheme="minorBidi"/>
                                  <w:color w:val="131413"/>
                                  <w:kern w:val="24"/>
                                  <w:sz w:val="12"/>
                                  <w:szCs w:val="12"/>
                                  <w:lang w:bidi="ru-RU"/>
                                </w:rPr>
                                <w:t xml:space="preserve"> =87)</w:t>
                              </w:r>
                            </w:p>
                            <w:p w14:paraId="6E251B15" w14:textId="77777777" w:rsidR="0074102F" w:rsidRPr="005A517F" w:rsidRDefault="0074102F" w:rsidP="0074102F">
                              <w:pPr>
                                <w:pStyle w:val="af1"/>
                                <w:spacing w:before="0" w:beforeAutospacing="0" w:after="0" w:afterAutospacing="0" w:line="266" w:lineRule="auto"/>
                                <w:ind w:left="142"/>
                              </w:pPr>
                              <w:r>
                                <w:rPr>
                                  <w:rFonts w:cstheme="minorBidi"/>
                                  <w:color w:val="131413"/>
                                  <w:kern w:val="24"/>
                                  <w:sz w:val="12"/>
                                  <w:szCs w:val="12"/>
                                  <w:lang w:bidi="ru-RU"/>
                                </w:rPr>
                                <w:t>В качестве исходов не рассматривались СД 2 типа, ИБС или АГ (</w:t>
                              </w:r>
                              <w:r>
                                <w:rPr>
                                  <w:rFonts w:cstheme="minorBidi"/>
                                  <w:i/>
                                  <w:color w:val="131413"/>
                                  <w:kern w:val="24"/>
                                  <w:sz w:val="12"/>
                                  <w:szCs w:val="12"/>
                                  <w:lang w:bidi="ru-RU"/>
                                </w:rPr>
                                <w:t>n</w:t>
                              </w:r>
                              <w:r>
                                <w:rPr>
                                  <w:rFonts w:cstheme="minorBidi"/>
                                  <w:color w:val="131413"/>
                                  <w:kern w:val="24"/>
                                  <w:sz w:val="12"/>
                                  <w:szCs w:val="12"/>
                                  <w:lang w:bidi="ru-RU"/>
                                </w:rPr>
                                <w:t xml:space="preserve"> =72)</w:t>
                              </w:r>
                            </w:p>
                          </w:txbxContent>
                        </v:textbox>
                      </v:rect>
                      <v:rect id="Прямоугольник 14" o:spid="_x0000_s1032" style="position:absolute;left:3107;top:24982;width:2538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" stroked="f">
                        <v:textbox style="mso-fit-shape-to-text:t" inset="0,0,0,0">
                          <w:txbxContent>
                            <w:p w14:paraId="208CED91"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Выбраны для просмотра полнотекстовых версий (</w:t>
                              </w:r>
                              <w:r>
                                <w:rPr>
                                  <w:rFonts w:cstheme="minorBidi"/>
                                  <w:i/>
                                  <w:color w:val="131413"/>
                                  <w:kern w:val="24"/>
                                  <w:sz w:val="12"/>
                                  <w:szCs w:val="12"/>
                                  <w:lang w:bidi="ru-RU"/>
                                </w:rPr>
                                <w:t>n</w:t>
                              </w:r>
                              <w:r>
                                <w:rPr>
                                  <w:rFonts w:cstheme="minorBidi"/>
                                  <w:color w:val="131413"/>
                                  <w:kern w:val="24"/>
                                  <w:sz w:val="12"/>
                                  <w:szCs w:val="12"/>
                                  <w:lang w:bidi="ru-RU"/>
                                </w:rPr>
                                <w:t xml:space="preserve"> = 95)</w:t>
                              </w:r>
                            </w:p>
                          </w:txbxContent>
                        </v:textbox>
                      </v:rect>
                      <v:rect id="Прямоугольник 15" o:spid="_x0000_s1033" style="position:absolute;left:10148;top:27817;width:18345;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VQwgAAANsAAAAPAAAAZHJzL2Rvd25yZXYueG1sRE9Na8JA&#10;EL0X/A/LCF5K3VSw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BFYwVQwgAAANsAAAAPAAAA&#10;AAAAAAAAAAAAAAcCAABkcnMvZG93bnJldi54bWxQSwUGAAAAAAMAAwC3AAAA9gIAAAAA&#10;" filled="f" stroked="f">
                        <v:textbox style="mso-fit-shape-to-text:t" inset="0,0,0,0">
                          <w:txbxContent>
                            <w:p w14:paraId="59828DBE" w14:textId="77777777" w:rsidR="0074102F" w:rsidRPr="00C536E1" w:rsidRDefault="0074102F" w:rsidP="0074102F">
                              <w:pPr>
                                <w:pStyle w:val="af1"/>
                                <w:spacing w:before="0" w:beforeAutospacing="0" w:after="0" w:afterAutospacing="0" w:line="266" w:lineRule="auto"/>
                                <w:rPr>
                                  <w:sz w:val="11"/>
                                  <w:szCs w:val="11"/>
                                </w:rPr>
                              </w:pPr>
                              <w:r w:rsidRPr="00C536E1">
                                <w:rPr>
                                  <w:rFonts w:cstheme="minorBidi"/>
                                  <w:color w:val="131413"/>
                                  <w:kern w:val="24"/>
                                  <w:sz w:val="11"/>
                                  <w:szCs w:val="11"/>
                                  <w:lang w:bidi="ru-RU"/>
                                </w:rPr>
                                <w:t>Исключены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85)</w:t>
                              </w:r>
                            </w:p>
                            <w:p w14:paraId="0084A977"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Магний не указан в качестве изучаемого воздействия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47)</w:t>
                              </w:r>
                            </w:p>
                            <w:p w14:paraId="7C65DBDF"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Не указана концентрация магния в сыворотке крови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36)</w:t>
                              </w:r>
                            </w:p>
                            <w:p w14:paraId="6AB0E934" w14:textId="77777777" w:rsidR="0074102F" w:rsidRPr="00C536E1" w:rsidRDefault="0074102F" w:rsidP="0074102F">
                              <w:pPr>
                                <w:pStyle w:val="af1"/>
                                <w:spacing w:before="0" w:beforeAutospacing="0" w:after="0" w:afterAutospacing="0" w:line="266" w:lineRule="auto"/>
                                <w:ind w:left="142"/>
                                <w:rPr>
                                  <w:sz w:val="11"/>
                                  <w:szCs w:val="11"/>
                                </w:rPr>
                              </w:pPr>
                              <w:r w:rsidRPr="00C536E1">
                                <w:rPr>
                                  <w:rFonts w:cstheme="minorBidi"/>
                                  <w:color w:val="131413"/>
                                  <w:kern w:val="24"/>
                                  <w:sz w:val="11"/>
                                  <w:szCs w:val="11"/>
                                  <w:lang w:bidi="ru-RU"/>
                                </w:rPr>
                                <w:t>Пациенты с ишемической болезнью сердца исходно не исключены из исследования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=2)</w:t>
                              </w:r>
                            </w:p>
                          </w:txbxContent>
                        </v:textbox>
                      </v:rect>
                      <v:rect id="Прямоугольник 16" o:spid="_x0000_s1034" style="position:absolute;left:3443;top:35380;width:1423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" stroked="f">
                        <v:textbox style="mso-fit-shape-to-text:t" inset="0,0,0,0">
                          <w:txbxContent>
                            <w:p w14:paraId="1FEF6A8D"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Отобраны после просмотра текстов (</w:t>
                              </w:r>
                              <w:r>
                                <w:rPr>
                                  <w:rFonts w:cstheme="minorBidi"/>
                                  <w:i/>
                                  <w:color w:val="131413"/>
                                  <w:kern w:val="24"/>
                                  <w:sz w:val="12"/>
                                  <w:szCs w:val="12"/>
                                  <w:lang w:bidi="ru-RU"/>
                                </w:rPr>
                                <w:t>n</w:t>
                              </w:r>
                              <w:r>
                                <w:rPr>
                                  <w:rFonts w:cstheme="minorBidi"/>
                                  <w:color w:val="131413"/>
                                  <w:kern w:val="24"/>
                                  <w:sz w:val="12"/>
                                  <w:szCs w:val="12"/>
                                  <w:lang w:bidi="ru-RU"/>
                                </w:rPr>
                                <w:t xml:space="preserve"> = 10)</w:t>
                              </w:r>
                            </w:p>
                          </w:txbxContent>
                        </v:textbox>
                      </v:rect>
                      <v:rect id="Прямоугольник 17" o:spid="_x0000_s1035" style="position:absolute;left:10024;top:38424;width:18460;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" filled="f" stroked="f">
                        <v:textbox style="mso-fit-shape-to-text:t" inset="0,0,0,0">
                          <w:txbxContent>
                            <w:p w14:paraId="3ED763F6" w14:textId="77777777" w:rsidR="0074102F" w:rsidRPr="00C536E1" w:rsidRDefault="0074102F" w:rsidP="0074102F">
                              <w:pPr>
                                <w:pStyle w:val="af1"/>
                                <w:spacing w:before="0" w:beforeAutospacing="0" w:after="0" w:afterAutospacing="0" w:line="276" w:lineRule="auto"/>
                                <w:rPr>
                                  <w:sz w:val="11"/>
                                  <w:szCs w:val="11"/>
                                </w:rPr>
                              </w:pPr>
                              <w:r w:rsidRPr="00C536E1">
                                <w:rPr>
                                  <w:rFonts w:cstheme="minorBidi"/>
                                  <w:color w:val="131413"/>
                                  <w:kern w:val="24"/>
                                  <w:sz w:val="11"/>
                                  <w:szCs w:val="11"/>
                                  <w:lang w:bidi="ru-RU"/>
                                </w:rPr>
                                <w:t>Добавлены (</w:t>
                              </w:r>
                              <w:r w:rsidRPr="00C536E1">
                                <w:rPr>
                                  <w:rFonts w:cstheme="minorBidi"/>
                                  <w:i/>
                                  <w:color w:val="131413"/>
                                  <w:kern w:val="24"/>
                                  <w:sz w:val="11"/>
                                  <w:szCs w:val="11"/>
                                  <w:lang w:bidi="ru-RU"/>
                                </w:rPr>
                                <w:t>n</w:t>
                              </w:r>
                              <w:r w:rsidRPr="00C536E1">
                                <w:rPr>
                                  <w:rFonts w:cstheme="minorBidi"/>
                                  <w:color w:val="131413"/>
                                  <w:kern w:val="24"/>
                                  <w:sz w:val="11"/>
                                  <w:szCs w:val="11"/>
                                  <w:lang w:bidi="ru-RU"/>
                                </w:rPr>
                                <w:t xml:space="preserve"> = 1)</w:t>
                              </w:r>
                            </w:p>
                            <w:p w14:paraId="6822ABCE" w14:textId="77777777" w:rsidR="0074102F" w:rsidRPr="00C536E1" w:rsidRDefault="0074102F" w:rsidP="0074102F">
                              <w:pPr>
                                <w:pStyle w:val="af1"/>
                                <w:spacing w:before="0" w:beforeAutospacing="0" w:after="0" w:afterAutospacing="0" w:line="276" w:lineRule="auto"/>
                                <w:ind w:left="142" w:hanging="142"/>
                                <w:rPr>
                                  <w:sz w:val="11"/>
                                  <w:szCs w:val="11"/>
                                </w:rPr>
                              </w:pPr>
                              <w:r w:rsidRPr="00C536E1">
                                <w:rPr>
                                  <w:rFonts w:cstheme="minorBidi"/>
                                  <w:color w:val="131413"/>
                                  <w:kern w:val="24"/>
                                  <w:sz w:val="11"/>
                                  <w:szCs w:val="11"/>
                                  <w:lang w:bidi="ru-RU"/>
                                </w:rPr>
                                <w:t>В результате поиска по базам данных EmBase, SCOPUS, Google Scholar или ручного поиска по спискам литературы.</w:t>
                              </w:r>
                            </w:p>
                          </w:txbxContent>
                        </v:textbox>
                      </v:rect>
                      <v:rect id="Прямоугольник 18" o:spid="_x0000_s1036" style="position:absolute;left:3229;top:44240;width:2559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" stroked="f">
                        <v:textbox style="mso-fit-shape-to-text:t" inset="0,0,0,0">
                          <w:txbxContent>
                            <w:p w14:paraId="1525FD11" w14:textId="77777777" w:rsidR="0074102F" w:rsidRPr="005A517F" w:rsidRDefault="0074102F" w:rsidP="0074102F">
                              <w:pPr>
                                <w:pStyle w:val="af1"/>
                                <w:spacing w:before="0" w:beforeAutospacing="0" w:after="0" w:afterAutospacing="0"/>
                              </w:pPr>
                              <w:r>
                                <w:rPr>
                                  <w:rFonts w:cstheme="minorBidi"/>
                                  <w:color w:val="131413"/>
                                  <w:kern w:val="24"/>
                                  <w:sz w:val="12"/>
                                  <w:szCs w:val="12"/>
                                  <w:lang w:bidi="ru-RU"/>
                                </w:rPr>
                                <w:t>Включены в метаанализ (</w:t>
                              </w:r>
                              <w:r>
                                <w:rPr>
                                  <w:rFonts w:cstheme="minorBidi"/>
                                  <w:i/>
                                  <w:color w:val="131413"/>
                                  <w:kern w:val="24"/>
                                  <w:sz w:val="12"/>
                                  <w:szCs w:val="12"/>
                                  <w:lang w:bidi="ru-RU"/>
                                </w:rPr>
                                <w:t>n</w:t>
                              </w:r>
                              <w:r>
                                <w:rPr>
                                  <w:rFonts w:cstheme="minorBidi"/>
                                  <w:color w:val="131413"/>
                                  <w:kern w:val="24"/>
                                  <w:sz w:val="12"/>
                                  <w:szCs w:val="12"/>
                                  <w:lang w:bidi="ru-RU"/>
                                </w:rPr>
                                <w:t xml:space="preserve"> = 11)</w:t>
                              </w:r>
                            </w:p>
                            <w:p w14:paraId="6D6A38FC"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5 описана частота развития ишемической болезни сердца</w:t>
                              </w:r>
                            </w:p>
                            <w:p w14:paraId="1F190426"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3 описана частота развития артериальной гипертензии</w:t>
                              </w:r>
                            </w:p>
                            <w:p w14:paraId="1DC0EF29" w14:textId="77777777" w:rsidR="0074102F" w:rsidRPr="005A517F" w:rsidRDefault="0074102F" w:rsidP="0074102F">
                              <w:pPr>
                                <w:pStyle w:val="af1"/>
                                <w:spacing w:before="0" w:beforeAutospacing="0" w:after="0" w:afterAutospacing="0"/>
                                <w:ind w:firstLine="144"/>
                              </w:pPr>
                              <w:r>
                                <w:rPr>
                                  <w:rFonts w:cstheme="minorBidi"/>
                                  <w:color w:val="131413"/>
                                  <w:kern w:val="24"/>
                                  <w:sz w:val="12"/>
                                  <w:szCs w:val="12"/>
                                  <w:lang w:bidi="ru-RU"/>
                                </w:rPr>
                                <w:t>В 4 описана частота развития сахарного диабета 2 типа</w:t>
                              </w:r>
                            </w:p>
                          </w:txbxContent>
                        </v:textbox>
                      </v:rect>
                      <v:rect id="Прямоугольник 19" o:spid="_x0000_s1037" style="position:absolute;left:1631;top:49462;width:2811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" stroked="f">
                        <v:textbox style="mso-fit-shape-to-text:t" inset="0,0,0,0">
                          <w:txbxContent>
                            <w:p w14:paraId="0DA3CB11" w14:textId="77777777" w:rsidR="0074102F" w:rsidRPr="0074102F" w:rsidRDefault="0074102F" w:rsidP="0074102F">
                              <w:pPr>
                                <w:pStyle w:val="af1"/>
                                <w:spacing w:before="0" w:beforeAutospacing="0" w:after="0" w:afterAutospacing="0"/>
                                <w:jc w:val="both"/>
                              </w:pPr>
                              <w:r w:rsidRPr="0074102F">
                                <w:rPr>
                                  <w:rFonts w:eastAsia="Segoe UI"/>
                                  <w:color w:val="131413"/>
                                  <w:kern w:val="24"/>
                                  <w:sz w:val="14"/>
                                  <w:szCs w:val="14"/>
                                  <w:lang w:bidi="ru-RU"/>
                                </w:rPr>
                                <w:t>Рис. 1. Процесс отбора исследований Статьи были найдены в результате поиска по базам данных PubMed (</w:t>
                              </w:r>
                              <w:hyperlink r:id="rId28" w:history="1">
                                <w:r w:rsidRPr="0074102F">
                                  <w:rPr>
                                    <w:rStyle w:val="af2"/>
                                    <w:rFonts w:eastAsia="Segoe UI"/>
                                    <w:color w:val="131413"/>
                                    <w:kern w:val="24"/>
                                    <w:sz w:val="14"/>
                                    <w:szCs w:val="14"/>
                                    <w:lang w:bidi="ru-RU"/>
                                  </w:rPr>
                                  <w:t>http://www.ncbi.nlm.nih.gov/pubmed</w:t>
                                </w:r>
                              </w:hyperlink>
                              <w:r w:rsidRPr="0074102F">
                                <w:rPr>
                                  <w:rFonts w:eastAsia="Segoe UI"/>
                                  <w:color w:val="131413"/>
                                  <w:kern w:val="24"/>
                                  <w:sz w:val="14"/>
                                  <w:szCs w:val="14"/>
                                  <w:lang w:bidi="ru-RU"/>
                                </w:rPr>
                                <w:t>), EmBase (</w:t>
                              </w:r>
                              <w:hyperlink r:id="rId29" w:history="1">
                                <w:r w:rsidRPr="0074102F">
                                  <w:rPr>
                                    <w:rStyle w:val="af2"/>
                                    <w:rFonts w:eastAsia="Segoe UI"/>
                                    <w:color w:val="131413"/>
                                    <w:kern w:val="24"/>
                                    <w:sz w:val="14"/>
                                    <w:szCs w:val="14"/>
                                    <w:lang w:bidi="ru-RU"/>
                                  </w:rPr>
                                  <w:t>http://</w:t>
                                </w:r>
                              </w:hyperlink>
                              <w:r w:rsidRPr="0074102F">
                                <w:rPr>
                                  <w:rFonts w:eastAsia="Segoe UI"/>
                                  <w:color w:val="131413"/>
                                  <w:kern w:val="24"/>
                                  <w:sz w:val="14"/>
                                  <w:szCs w:val="14"/>
                                  <w:lang w:bidi="ru-RU"/>
                                </w:rPr>
                                <w:t xml:space="preserve"> </w:t>
                              </w:r>
                              <w:hyperlink r:id="rId30" w:history="1">
                                <w:r w:rsidRPr="0074102F">
                                  <w:rPr>
                                    <w:rStyle w:val="af2"/>
                                    <w:rFonts w:eastAsia="Segoe UI"/>
                                    <w:color w:val="131413"/>
                                    <w:kern w:val="24"/>
                                    <w:sz w:val="14"/>
                                    <w:szCs w:val="14"/>
                                    <w:lang w:bidi="ru-RU"/>
                                  </w:rPr>
                                  <w:t>www.elsevier.com/online-tools/embase</w:t>
                                </w:r>
                              </w:hyperlink>
                              <w:r w:rsidRPr="0074102F">
                                <w:rPr>
                                  <w:rFonts w:eastAsia="Segoe UI"/>
                                  <w:color w:val="131413"/>
                                  <w:kern w:val="24"/>
                                  <w:sz w:val="14"/>
                                  <w:szCs w:val="14"/>
                                  <w:lang w:bidi="ru-RU"/>
                                </w:rPr>
                                <w:t>), SCOPUS (</w:t>
                              </w:r>
                              <w:hyperlink r:id="rId31" w:history="1">
                                <w:r w:rsidRPr="0074102F">
                                  <w:rPr>
                                    <w:rStyle w:val="af2"/>
                                    <w:rFonts w:eastAsia="Segoe UI"/>
                                    <w:color w:val="131413"/>
                                    <w:kern w:val="24"/>
                                    <w:sz w:val="14"/>
                                    <w:szCs w:val="14"/>
                                    <w:lang w:bidi="ru-RU"/>
                                  </w:rPr>
                                  <w:t>https://</w:t>
                                </w:r>
                              </w:hyperlink>
                              <w:r w:rsidRPr="0074102F">
                                <w:rPr>
                                  <w:rFonts w:eastAsia="Segoe UI"/>
                                  <w:color w:val="131413"/>
                                  <w:kern w:val="24"/>
                                  <w:sz w:val="14"/>
                                  <w:szCs w:val="14"/>
                                  <w:lang w:bidi="ru-RU"/>
                                </w:rPr>
                                <w:t xml:space="preserve"> </w:t>
                              </w:r>
                              <w:hyperlink r:id="rId32" w:history="1">
                                <w:r w:rsidRPr="0074102F">
                                  <w:rPr>
                                    <w:rStyle w:val="af2"/>
                                    <w:rFonts w:eastAsia="Segoe UI"/>
                                    <w:color w:val="131413"/>
                                    <w:kern w:val="24"/>
                                    <w:sz w:val="14"/>
                                    <w:szCs w:val="14"/>
                                    <w:lang w:bidi="ru-RU"/>
                                  </w:rPr>
                                  <w:t>www.scopus.com/</w:t>
                                </w:r>
                              </w:hyperlink>
                              <w:r w:rsidRPr="0074102F">
                                <w:rPr>
                                  <w:rFonts w:eastAsia="Segoe UI"/>
                                  <w:color w:val="131413"/>
                                  <w:kern w:val="24"/>
                                  <w:sz w:val="14"/>
                                  <w:szCs w:val="14"/>
                                  <w:lang w:bidi="ru-RU"/>
                                </w:rPr>
                                <w:t>) и Google Scholar (</w:t>
                              </w:r>
                              <w:hyperlink r:id="rId33" w:history="1">
                                <w:r w:rsidRPr="0074102F">
                                  <w:rPr>
                                    <w:rStyle w:val="af2"/>
                                    <w:rFonts w:eastAsia="Segoe UI"/>
                                    <w:color w:val="131413"/>
                                    <w:kern w:val="24"/>
                                    <w:sz w:val="14"/>
                                    <w:szCs w:val="14"/>
                                    <w:lang w:bidi="ru-RU"/>
                                  </w:rPr>
                                  <w:t>http://scholar.google.com</w:t>
                                </w:r>
                              </w:hyperlink>
                              <w:r w:rsidRPr="0074102F">
                                <w:rPr>
                                  <w:rFonts w:eastAsia="Segoe UI"/>
                                  <w:color w:val="131413"/>
                                  <w:kern w:val="24"/>
                                  <w:sz w:val="14"/>
                                  <w:szCs w:val="14"/>
                                  <w:lang w:bidi="ru-RU"/>
                                </w:rPr>
                                <w:t>)</w:t>
                              </w:r>
                            </w:p>
                          </w:txbxContent>
                        </v:textbox>
                      </v:rect>
                      <w10:anchorlock/>
                    </v:group>
                  </w:pict>
                </mc:Fallback>
              </mc:AlternateContent>
            </w:r>
          </w:p>
        </w:tc>
      </w:tr>
    </w:tbl>
    <w:bookmarkEnd w:id="20"/>
    <w:p w14:paraId="1F0D10C9" w14:textId="5750B228" w:rsidR="004577D8" w:rsidRPr="00B45667" w:rsidRDefault="00722C17" w:rsidP="004E6760">
      <w:pPr>
        <w:pStyle w:val="22"/>
        <w:keepNext w:val="0"/>
        <w:keepLines w:val="0"/>
      </w:pPr>
      <w:r w:rsidRPr="00B45667">
        <w:t>Характеристики включенных в анализ исследований</w:t>
      </w:r>
      <w:bookmarkEnd w:id="21"/>
      <w:bookmarkEnd w:id="22"/>
    </w:p>
    <w:p w14:paraId="5F7A087B" w14:textId="77777777" w:rsidR="00805A91" w:rsidRPr="00B45667" w:rsidRDefault="00722C17" w:rsidP="00805A91">
      <w:pPr>
        <w:pStyle w:val="20"/>
        <w:shd w:val="clear" w:color="auto" w:fill="auto"/>
        <w:jc w:val="both"/>
      </w:pPr>
      <w:r w:rsidRPr="0074102F">
        <w:rPr>
          <w:szCs w:val="20"/>
          <w:lang w:bidi="ru-RU"/>
        </w:rPr>
        <w:t>В таблице 1 приведены характеристики исследований, включенных в анализ; все исследования имели проспективный когортный дизайн, а их участники ранее не имели диагнозов, указывающих на исходное наличие изучаемых</w:t>
      </w:r>
      <w:r w:rsidR="00805A91" w:rsidRPr="0074102F">
        <w:rPr>
          <w:szCs w:val="20"/>
          <w:lang w:bidi="ru-RU"/>
        </w:rPr>
        <w:t xml:space="preserve"> исходов.</w:t>
      </w:r>
      <w:r w:rsidR="00805A91" w:rsidRPr="00B45667">
        <w:rPr>
          <w:lang w:bidi="ru-RU"/>
        </w:rPr>
        <w:t xml:space="preserve"> В некоторых исследованиях ОР/ОШ с 95 % ДИ оценивались отдельно для мужчин и женщин [24, 28] или независимо для представителей негроидной и европеоидной рас [</w:t>
      </w:r>
      <w:hyperlink w:anchor="bookmark42" w:tooltip="Текущий документ">
        <w:r w:rsidR="00805A91" w:rsidRPr="00B45667">
          <w:rPr>
            <w:lang w:bidi="ru-RU"/>
          </w:rPr>
          <w:t>11</w:t>
        </w:r>
      </w:hyperlink>
      <w:r w:rsidR="00805A91" w:rsidRPr="00B45667">
        <w:rPr>
          <w:lang w:bidi="ru-RU"/>
        </w:rPr>
        <w:t>], и эти группы учитывались в метаанализе как отдельные когорты. Из этих 11 проспективных исследований в 5 (6 когорт) представлены результаты оценки ИБС (45 808 человек и 4437 случаев за средний период наблюдения 10,5 года) [23-27], в 3 исследованиях (4 когорты) ― данные по АГ (14 876 участников и 3149 случаев за средний период наблюдения 6,7 года) [26, 28, 29], а в 4 исследованиях (5 когорт) ― по СД 2 типа (31 284 участника и 2680 случаев за средний период наблюдения 8,8 года) [</w:t>
      </w:r>
      <w:hyperlink w:anchor="bookmark42" w:tooltip="Текущий документ">
        <w:r w:rsidR="00805A91" w:rsidRPr="00B45667">
          <w:rPr>
            <w:lang w:bidi="ru-RU"/>
          </w:rPr>
          <w:t>11</w:t>
        </w:r>
      </w:hyperlink>
      <w:r w:rsidR="00805A91" w:rsidRPr="00B45667">
        <w:rPr>
          <w:lang w:bidi="ru-RU"/>
        </w:rPr>
        <w:t>, 30-32].</w:t>
      </w:r>
    </w:p>
    <w:p w14:paraId="67A44C3E" w14:textId="77777777" w:rsidR="00805A91" w:rsidRPr="00B45667" w:rsidRDefault="00805A91" w:rsidP="00805A91">
      <w:pPr>
        <w:pStyle w:val="20"/>
        <w:shd w:val="clear" w:color="auto" w:fill="auto"/>
        <w:ind w:firstLine="360"/>
        <w:jc w:val="both"/>
      </w:pPr>
      <w:r w:rsidRPr="00B45667">
        <w:rPr>
          <w:lang w:bidi="ru-RU"/>
        </w:rPr>
        <w:t>Средний возраст участников при включении в исследование составлял около 52 лет, почти 43,4 % участников были мужского пола. Во всех исследованиях, включенных в анализ, проводилась коррекция с учетом возраста и пола, кроме исследований, в которые включались участники только одного пола. Кроме того, в основных исследованиях учитывались различные</w:t>
      </w:r>
    </w:p>
    <w:p w14:paraId="250DE681" w14:textId="77777777" w:rsidR="00805A91" w:rsidRPr="00B45667" w:rsidRDefault="00805A91" w:rsidP="00AF4913">
      <w:pPr>
        <w:pStyle w:val="20"/>
        <w:shd w:val="clear" w:color="auto" w:fill="auto"/>
        <w:spacing w:line="240" w:lineRule="auto"/>
        <w:jc w:val="both"/>
      </w:pPr>
      <w:r w:rsidRPr="00B45667">
        <w:rPr>
          <w:lang w:bidi="ru-RU"/>
        </w:rPr>
        <w:t>потенциальные искажающие факторы, включая индекс массы тела (n = 9) [</w:t>
      </w:r>
      <w:hyperlink w:anchor="bookmark42" w:tooltip="Текущий документ">
        <w:r w:rsidRPr="00B45667">
          <w:rPr>
            <w:lang w:bidi="ru-RU"/>
          </w:rPr>
          <w:t>11</w:t>
        </w:r>
      </w:hyperlink>
      <w:r w:rsidRPr="00B45667">
        <w:rPr>
          <w:lang w:bidi="ru-RU"/>
        </w:rPr>
        <w:t>, 23, 25-30, 32] и/или другие показатели висцерального ожирения, такие как соотношение окружностей талии и бедер (n = 3) [</w:t>
      </w:r>
      <w:hyperlink w:anchor="bookmark42" w:tooltip="Текущий документ">
        <w:r w:rsidRPr="00B45667">
          <w:rPr>
            <w:lang w:bidi="ru-RU"/>
          </w:rPr>
          <w:t>11</w:t>
        </w:r>
      </w:hyperlink>
      <w:r w:rsidRPr="00B45667">
        <w:rPr>
          <w:lang w:bidi="ru-RU"/>
        </w:rPr>
        <w:t>, 24, 28] и окружность талии (n = 1) [31], курение (n = 7) [23-27, 29, 32], употребление алкоголя (n =7) [</w:t>
      </w:r>
      <w:hyperlink w:anchor="bookmark42" w:tooltip="Текущий документ">
        <w:r w:rsidRPr="00B45667">
          <w:rPr>
            <w:lang w:bidi="ru-RU"/>
          </w:rPr>
          <w:t>11</w:t>
        </w:r>
      </w:hyperlink>
      <w:r w:rsidRPr="00B45667">
        <w:rPr>
          <w:lang w:bidi="ru-RU"/>
        </w:rPr>
        <w:t>, 23-25, 27, 29, 32], физическая активность (n = 6) [</w:t>
      </w:r>
      <w:hyperlink w:anchor="bookmark42" w:tooltip="Текущий документ">
        <w:r w:rsidRPr="00B45667">
          <w:rPr>
            <w:lang w:bidi="ru-RU"/>
          </w:rPr>
          <w:t>11</w:t>
        </w:r>
      </w:hyperlink>
      <w:r w:rsidRPr="00B45667">
        <w:rPr>
          <w:lang w:bidi="ru-RU"/>
        </w:rPr>
        <w:t xml:space="preserve">, 23-25, 28, 30] </w:t>
      </w:r>
      <w:r w:rsidRPr="00B45667">
        <w:rPr>
          <w:lang w:bidi="ru-RU"/>
        </w:rPr>
        <w:lastRenderedPageBreak/>
        <w:t>и уровень образования (n = 5) [</w:t>
      </w:r>
      <w:hyperlink w:anchor="bookmark42" w:tooltip="Текущий документ">
        <w:r w:rsidRPr="00B45667">
          <w:rPr>
            <w:lang w:bidi="ru-RU"/>
          </w:rPr>
          <w:t>11</w:t>
        </w:r>
      </w:hyperlink>
      <w:r w:rsidRPr="00B45667">
        <w:rPr>
          <w:lang w:bidi="ru-RU"/>
        </w:rPr>
        <w:t>, 24, 25, 28, 30]. В нескольких исследованиях применялись поправки с учетом концентраций других микроэлементов в крови, например, кальция и калия (n = 4) [</w:t>
      </w:r>
      <w:hyperlink w:anchor="bookmark42" w:tooltip="Текущий документ">
        <w:r w:rsidRPr="00B45667">
          <w:rPr>
            <w:lang w:bidi="ru-RU"/>
          </w:rPr>
          <w:t>11</w:t>
        </w:r>
      </w:hyperlink>
      <w:r w:rsidRPr="00B45667">
        <w:rPr>
          <w:lang w:bidi="ru-RU"/>
        </w:rPr>
        <w:t xml:space="preserve">, 27, 29, 32], или на расчетную скорость клубочковой фильтрации (n = 2) [26, 32]. Качество 10 из 11 исследований, включенных в анализ, оценивалось как высокое и только одного ― как среднее (см. дополнительный файл </w:t>
      </w:r>
      <w:hyperlink w:anchor="bookmark45" w:tooltip="Текущий документ">
        <w:r w:rsidRPr="00B45667">
          <w:rPr>
            <w:lang w:bidi="ru-RU"/>
          </w:rPr>
          <w:t>1</w:t>
        </w:r>
      </w:hyperlink>
      <w:r w:rsidRPr="00B45667">
        <w:rPr>
          <w:lang w:bidi="ru-RU"/>
        </w:rPr>
        <w:t>: Таблица S2 в сопроводительных материалах).</w:t>
      </w:r>
    </w:p>
    <w:p w14:paraId="1F0D10D2" w14:textId="77777777" w:rsidR="004577D8" w:rsidRPr="00B45667" w:rsidRDefault="00722C17" w:rsidP="00367D06">
      <w:pPr>
        <w:pStyle w:val="22"/>
      </w:pPr>
      <w:bookmarkStart w:id="23" w:name="bookmark24"/>
      <w:bookmarkStart w:id="24" w:name="bookmark25"/>
      <w:r w:rsidRPr="00B45667">
        <w:t>Концентрация магния в крови и риск ИБС</w:t>
      </w:r>
      <w:bookmarkEnd w:id="23"/>
      <w:bookmarkEnd w:id="24"/>
    </w:p>
    <w:p w14:paraId="1F0D10D3" w14:textId="77777777" w:rsidR="004577D8" w:rsidRPr="00B45667" w:rsidRDefault="00722C17" w:rsidP="00B84D9A">
      <w:pPr>
        <w:pStyle w:val="20"/>
        <w:shd w:val="clear" w:color="auto" w:fill="auto"/>
        <w:jc w:val="both"/>
      </w:pPr>
      <w:r w:rsidRPr="00B45667">
        <w:rPr>
          <w:lang w:bidi="ru-RU"/>
        </w:rPr>
        <w:t xml:space="preserve">В пяти исследованиях (6 когорт) были представлены данные по ИБС (рис. </w:t>
      </w:r>
      <w:hyperlink w:anchor="bookmark30" w:tooltip="Текущий документ">
        <w:r w:rsidRPr="00B45667">
          <w:rPr>
            <w:lang w:bidi="ru-RU"/>
          </w:rPr>
          <w:t>2</w:t>
        </w:r>
      </w:hyperlink>
      <w:r w:rsidRPr="00B45667">
        <w:rPr>
          <w:lang w:bidi="ru-RU"/>
        </w:rPr>
        <w:t>). Совокупная оценка составила 0,86 (95 % ДИ от 0,74 до 0,996; P = 0,04). Значимой неоднородности исследований не наблюдалось (I</w:t>
      </w:r>
      <w:r w:rsidRPr="00B45667">
        <w:rPr>
          <w:vertAlign w:val="superscript"/>
          <w:lang w:bidi="ru-RU"/>
        </w:rPr>
        <w:t>2 </w:t>
      </w:r>
      <w:r w:rsidRPr="00B45667">
        <w:rPr>
          <w:lang w:bidi="ru-RU"/>
        </w:rPr>
        <w:t>= 39,6 %, P = 0,14), равно как и систематической ошибки, связанной с предвзятостью публикаций (критерий Эггера: P = 0,48; критерий Бегга: P = 0,57).</w:t>
      </w:r>
    </w:p>
    <w:p w14:paraId="1F0D10D5" w14:textId="618DD003" w:rsidR="00B84D9A" w:rsidRPr="00B45667" w:rsidRDefault="00722C17" w:rsidP="00AF4913">
      <w:pPr>
        <w:pStyle w:val="20"/>
        <w:shd w:val="clear" w:color="auto" w:fill="auto"/>
        <w:ind w:firstLine="360"/>
        <w:jc w:val="both"/>
      </w:pPr>
      <w:r w:rsidRPr="00B45667">
        <w:rPr>
          <w:lang w:bidi="ru-RU"/>
        </w:rPr>
        <w:t xml:space="preserve">Анализ дозозависимого эффекта не выявил линейной зависимости между концентрацией Mg в крови и частотой ИБС (ОР 0,89; 95 % ДИ от 0,77 до 1,03; </w:t>
      </w:r>
      <w:r w:rsidRPr="00B45667">
        <w:rPr>
          <w:sz w:val="13"/>
          <w:szCs w:val="13"/>
          <w:lang w:bidi="ru-RU"/>
        </w:rPr>
        <w:t>тенденция</w:t>
      </w:r>
      <w:r w:rsidRPr="00B45667">
        <w:rPr>
          <w:lang w:bidi="ru-RU"/>
        </w:rPr>
        <w:t xml:space="preserve"> Р = 0,10 при пошаговом увеличении концентрации Mg на 0,1 ммоль/л). Наблюдалась высокая степень неоднородности 6 когорт, включенных в анализ (I</w:t>
      </w:r>
      <w:r w:rsidRPr="00B45667">
        <w:rPr>
          <w:vertAlign w:val="superscript"/>
          <w:lang w:bidi="ru-RU"/>
        </w:rPr>
        <w:t>2 </w:t>
      </w:r>
      <w:r w:rsidRPr="00B45667">
        <w:rPr>
          <w:lang w:bidi="ru-RU"/>
        </w:rPr>
        <w:t>= 61,9 %, P = 0,02). Признаков значимой систематической ошибки, связанной с предвзятостью публикаций, выявлено не было (критерий Бегга, P = 0,14; критерий Эггера, P = 0,57).</w:t>
      </w:r>
      <w:bookmarkStart w:id="25" w:name="bookmark26"/>
      <w:bookmarkStart w:id="26" w:name="bookmark27"/>
    </w:p>
    <w:bookmarkEnd w:id="25"/>
    <w:bookmarkEnd w:id="26"/>
    <w:p w14:paraId="1F0D10D6" w14:textId="77777777" w:rsidR="004577D8" w:rsidRPr="00B45667" w:rsidRDefault="00722C17" w:rsidP="00367D06">
      <w:pPr>
        <w:pStyle w:val="22"/>
      </w:pPr>
      <w:r w:rsidRPr="00B45667">
        <w:t>Концентрация магния в крови и риск артериальной гипертензии</w:t>
      </w:r>
    </w:p>
    <w:p w14:paraId="1F0D10D7" w14:textId="77777777" w:rsidR="004577D8" w:rsidRPr="00B45667" w:rsidRDefault="00722C17" w:rsidP="00B84D9A">
      <w:pPr>
        <w:pStyle w:val="20"/>
        <w:shd w:val="clear" w:color="auto" w:fill="auto"/>
        <w:jc w:val="both"/>
      </w:pPr>
      <w:r w:rsidRPr="00B45667">
        <w:rPr>
          <w:lang w:bidi="ru-RU"/>
        </w:rPr>
        <w:t>В трех исследованиях (4 когорты) были представлены данные по частоте АГ (рис.</w:t>
      </w:r>
      <w:hyperlink w:anchor="bookmark30" w:tooltip="Текущий документ">
        <w:r w:rsidRPr="00B45667">
          <w:rPr>
            <w:lang w:bidi="ru-RU"/>
          </w:rPr>
          <w:t xml:space="preserve"> 3</w:t>
        </w:r>
      </w:hyperlink>
      <w:r w:rsidRPr="00B45667">
        <w:rPr>
          <w:lang w:bidi="ru-RU"/>
        </w:rPr>
        <w:t>). Совокупный ОР развития АГ составил 0,91 (95 % ДИ от 0,80 до 1,02; P = 0,10) при сравнении самой высокой и самой низкой концентрации Mg в крови. Значимой неоднородности исследований выявлено не было (I</w:t>
      </w:r>
      <w:r w:rsidRPr="00B45667">
        <w:rPr>
          <w:vertAlign w:val="superscript"/>
          <w:lang w:bidi="ru-RU"/>
        </w:rPr>
        <w:t>2 </w:t>
      </w:r>
      <w:r w:rsidRPr="00B45667">
        <w:rPr>
          <w:lang w:bidi="ru-RU"/>
        </w:rPr>
        <w:t>= 0,0 %, P = 0,48). Ни критерий Эггера (P = 0,86), ни критерий Бегга (P = 0,50) не указали на наличие систематической ошибки, связанной с предвзятостью публикаций.</w:t>
      </w:r>
    </w:p>
    <w:p w14:paraId="1F0D10D8" w14:textId="77777777" w:rsidR="004577D8" w:rsidRPr="00B45667" w:rsidRDefault="00722C17" w:rsidP="00B84D9A">
      <w:pPr>
        <w:pStyle w:val="20"/>
        <w:shd w:val="clear" w:color="auto" w:fill="auto"/>
        <w:ind w:firstLine="360"/>
        <w:jc w:val="both"/>
      </w:pPr>
      <w:r w:rsidRPr="00B45667">
        <w:rPr>
          <w:lang w:bidi="ru-RU"/>
        </w:rPr>
        <w:t xml:space="preserve">Наблюдалась достоверная обратная линейная зависимость между концентрацией Mg в крови и частотой АГ (ОР 0,96; 95 % ДИ от 0,93 до 0,99; </w:t>
      </w:r>
      <w:r w:rsidRPr="00B45667">
        <w:rPr>
          <w:sz w:val="13"/>
          <w:szCs w:val="13"/>
          <w:lang w:bidi="ru-RU"/>
        </w:rPr>
        <w:t>тенденция</w:t>
      </w:r>
      <w:r w:rsidRPr="00B45667">
        <w:rPr>
          <w:lang w:bidi="ru-RU"/>
        </w:rPr>
        <w:t xml:space="preserve"> Р = 0,02 при пошаговом увеличении концентрации Mg на 0,1 ммоль/л). Значимой неоднородности исследований выявлено не было (I</w:t>
      </w:r>
      <w:r w:rsidRPr="00B45667">
        <w:rPr>
          <w:vertAlign w:val="superscript"/>
          <w:lang w:bidi="ru-RU"/>
        </w:rPr>
        <w:t>2 </w:t>
      </w:r>
      <w:r w:rsidRPr="00B45667">
        <w:rPr>
          <w:lang w:bidi="ru-RU"/>
        </w:rPr>
        <w:t>= 0,0 %, P = 0,69), также как и признаков систематической ошибки, связанной с предвзятостью публикаций (критерий Эггера: P = 0,62; критерий Бегга: P = 0,50).</w:t>
      </w:r>
    </w:p>
    <w:p w14:paraId="1F0D10DA" w14:textId="77777777" w:rsidR="004577D8" w:rsidRPr="00B45667" w:rsidRDefault="00722C17" w:rsidP="00367D06">
      <w:pPr>
        <w:pStyle w:val="22"/>
      </w:pPr>
      <w:bookmarkStart w:id="27" w:name="bookmark28"/>
      <w:bookmarkStart w:id="28" w:name="bookmark29"/>
      <w:r w:rsidRPr="00B45667">
        <w:t>Концентрация магния в крови и риск сахарного диабета</w:t>
      </w:r>
      <w:bookmarkEnd w:id="27"/>
      <w:bookmarkEnd w:id="28"/>
    </w:p>
    <w:p w14:paraId="1F0D10DB" w14:textId="77777777" w:rsidR="004577D8" w:rsidRPr="00B45667" w:rsidRDefault="00722C17" w:rsidP="00B63AC3">
      <w:pPr>
        <w:pStyle w:val="20"/>
        <w:shd w:val="clear" w:color="auto" w:fill="auto"/>
        <w:jc w:val="both"/>
      </w:pPr>
      <w:r w:rsidRPr="00B45667">
        <w:rPr>
          <w:lang w:bidi="ru-RU"/>
        </w:rPr>
        <w:t xml:space="preserve">В четырех исследованиях (5 когорт) были представлены результаты оценки развития СД 2 типа (рис. </w:t>
      </w:r>
      <w:hyperlink w:anchor="bookmark33" w:tooltip="Текущий документ">
        <w:r w:rsidRPr="00B45667">
          <w:rPr>
            <w:lang w:bidi="ru-RU"/>
          </w:rPr>
          <w:t>4)</w:t>
        </w:r>
      </w:hyperlink>
      <w:r w:rsidRPr="00B45667">
        <w:rPr>
          <w:lang w:bidi="ru-RU"/>
        </w:rPr>
        <w:t>. Совокупный ОР развития СД 2 типа при сравнении категорий самой высокой и самой низкой концентрации Mg, составил 0,64 (95 % ДИ от 0,50 до 0,81; P = 0,01). Значимой неоднородности исследований не выявлено (I</w:t>
      </w:r>
      <w:r w:rsidRPr="00B45667">
        <w:rPr>
          <w:vertAlign w:val="superscript"/>
          <w:lang w:bidi="ru-RU"/>
        </w:rPr>
        <w:t>2 </w:t>
      </w:r>
      <w:r w:rsidRPr="00B45667">
        <w:rPr>
          <w:lang w:bidi="ru-RU"/>
        </w:rPr>
        <w:t>= 27,3 %,</w:t>
      </w:r>
    </w:p>
    <w:p w14:paraId="1F0D10DC" w14:textId="77777777" w:rsidR="00B84D9A" w:rsidRPr="00B45667" w:rsidRDefault="00B84D9A">
      <w:pPr>
        <w:rPr>
          <w:rFonts w:cs="Times New Roman"/>
        </w:rPr>
        <w:sectPr w:rsidR="00B84D9A" w:rsidRPr="00B45667" w:rsidSect="0074102F">
          <w:headerReference w:type="default" r:id="rId34"/>
          <w:footerReference w:type="default" r:id="rId35"/>
          <w:pgSz w:w="12240" w:h="16834"/>
          <w:pgMar w:top="851" w:right="1134" w:bottom="568" w:left="1134" w:header="567" w:footer="567" w:gutter="0"/>
          <w:cols w:space="720"/>
          <w:noEndnote/>
          <w:docGrid w:linePitch="360"/>
        </w:sectPr>
      </w:pPr>
    </w:p>
    <w:p w14:paraId="1F0D10DD" w14:textId="77777777" w:rsidR="00B84D9A" w:rsidRPr="00B45667" w:rsidRDefault="00B84D9A" w:rsidP="008F193C">
      <w:pPr>
        <w:spacing w:after="40"/>
        <w:rPr>
          <w:rFonts w:cs="Times New Roman"/>
        </w:rPr>
      </w:pPr>
      <w:r w:rsidRPr="00B45667">
        <w:rPr>
          <w:rFonts w:eastAsia="Segoe UI" w:cs="Times New Roman"/>
          <w:b/>
          <w:color w:val="131413"/>
          <w:szCs w:val="18"/>
          <w:lang w:bidi="ru-RU"/>
        </w:rPr>
        <w:lastRenderedPageBreak/>
        <w:t>Таблица 1.</w:t>
      </w:r>
      <w:r w:rsidRPr="00B45667">
        <w:rPr>
          <w:rFonts w:eastAsia="Segoe UI" w:cs="Times New Roman"/>
          <w:color w:val="131413"/>
          <w:szCs w:val="18"/>
          <w:lang w:bidi="ru-RU"/>
        </w:rPr>
        <w:t xml:space="preserve"> Характеристики 11 проспективных исследований, включенных в метаанализ</w:t>
      </w:r>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1041"/>
        <w:gridCol w:w="956"/>
        <w:gridCol w:w="503"/>
        <w:gridCol w:w="826"/>
        <w:gridCol w:w="1018"/>
        <w:gridCol w:w="1160"/>
        <w:gridCol w:w="1991"/>
        <w:gridCol w:w="2562"/>
        <w:gridCol w:w="2518"/>
        <w:gridCol w:w="1774"/>
        <w:gridCol w:w="817"/>
      </w:tblGrid>
      <w:tr w:rsidR="004577D8" w:rsidRPr="00B45667" w14:paraId="1F0D10E9" w14:textId="77777777" w:rsidTr="00B45667">
        <w:trPr>
          <w:trHeight w:val="501"/>
        </w:trPr>
        <w:tc>
          <w:tcPr>
            <w:tcW w:w="1039" w:type="dxa"/>
            <w:tcBorders>
              <w:top w:val="single" w:sz="4" w:space="0" w:color="auto"/>
            </w:tcBorders>
            <w:shd w:val="clear" w:color="auto" w:fill="FFFFFF"/>
          </w:tcPr>
          <w:p w14:paraId="1F0D10D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Источник</w:t>
            </w:r>
          </w:p>
        </w:tc>
        <w:tc>
          <w:tcPr>
            <w:tcW w:w="954" w:type="dxa"/>
            <w:tcBorders>
              <w:top w:val="single" w:sz="4" w:space="0" w:color="auto"/>
            </w:tcBorders>
            <w:shd w:val="clear" w:color="auto" w:fill="FFFFFF"/>
          </w:tcPr>
          <w:p w14:paraId="1F0D10D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Исходный возраст (лет)</w:t>
            </w:r>
          </w:p>
        </w:tc>
        <w:tc>
          <w:tcPr>
            <w:tcW w:w="502" w:type="dxa"/>
            <w:tcBorders>
              <w:top w:val="single" w:sz="4" w:space="0" w:color="auto"/>
            </w:tcBorders>
            <w:shd w:val="clear" w:color="auto" w:fill="FFFFFF"/>
          </w:tcPr>
          <w:p w14:paraId="1F0D10E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Мужчины (%)</w:t>
            </w:r>
          </w:p>
        </w:tc>
        <w:tc>
          <w:tcPr>
            <w:tcW w:w="824" w:type="dxa"/>
            <w:tcBorders>
              <w:top w:val="single" w:sz="4" w:space="0" w:color="auto"/>
            </w:tcBorders>
            <w:shd w:val="clear" w:color="auto" w:fill="FFFFFF"/>
          </w:tcPr>
          <w:p w14:paraId="1F0D10E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Продолжительность наблюдения (лет)</w:t>
            </w:r>
          </w:p>
        </w:tc>
        <w:tc>
          <w:tcPr>
            <w:tcW w:w="1016" w:type="dxa"/>
            <w:tcBorders>
              <w:top w:val="single" w:sz="4" w:space="0" w:color="auto"/>
            </w:tcBorders>
            <w:shd w:val="clear" w:color="auto" w:fill="FFFFFF"/>
          </w:tcPr>
          <w:p w14:paraId="1F0D10E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Количество участников/событий</w:t>
            </w:r>
          </w:p>
        </w:tc>
        <w:tc>
          <w:tcPr>
            <w:tcW w:w="1157" w:type="dxa"/>
            <w:tcBorders>
              <w:top w:val="single" w:sz="4" w:space="0" w:color="auto"/>
            </w:tcBorders>
            <w:shd w:val="clear" w:color="auto" w:fill="FFFFFF"/>
          </w:tcPr>
          <w:p w14:paraId="1F0D10E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Категории воздействия</w:t>
            </w:r>
          </w:p>
        </w:tc>
        <w:tc>
          <w:tcPr>
            <w:tcW w:w="1987" w:type="dxa"/>
            <w:tcBorders>
              <w:top w:val="single" w:sz="4" w:space="0" w:color="auto"/>
            </w:tcBorders>
            <w:shd w:val="clear" w:color="auto" w:fill="FFFFFF"/>
          </w:tcPr>
          <w:p w14:paraId="1F0D10E4"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Оценка воздействия</w:t>
            </w:r>
          </w:p>
        </w:tc>
        <w:tc>
          <w:tcPr>
            <w:tcW w:w="2556" w:type="dxa"/>
            <w:tcBorders>
              <w:top w:val="single" w:sz="4" w:space="0" w:color="auto"/>
            </w:tcBorders>
            <w:shd w:val="clear" w:color="auto" w:fill="FFFFFF"/>
          </w:tcPr>
          <w:p w14:paraId="1F0D10E5"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 и его оценка</w:t>
            </w:r>
          </w:p>
        </w:tc>
        <w:tc>
          <w:tcPr>
            <w:tcW w:w="2512" w:type="dxa"/>
            <w:tcBorders>
              <w:top w:val="single" w:sz="4" w:space="0" w:color="auto"/>
            </w:tcBorders>
            <w:shd w:val="clear" w:color="auto" w:fill="FFFFFF"/>
          </w:tcPr>
          <w:p w14:paraId="1F0D10E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Показатели, на которые проводилась коррекция</w:t>
            </w:r>
          </w:p>
        </w:tc>
        <w:tc>
          <w:tcPr>
            <w:tcW w:w="1770" w:type="dxa"/>
            <w:tcBorders>
              <w:top w:val="single" w:sz="4" w:space="0" w:color="auto"/>
            </w:tcBorders>
            <w:shd w:val="clear" w:color="auto" w:fill="FFFFFF"/>
          </w:tcPr>
          <w:p w14:paraId="1F0D10E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Основные результаты</w:t>
            </w:r>
          </w:p>
        </w:tc>
        <w:tc>
          <w:tcPr>
            <w:tcW w:w="815" w:type="dxa"/>
            <w:tcBorders>
              <w:top w:val="single" w:sz="4" w:space="0" w:color="auto"/>
            </w:tcBorders>
            <w:shd w:val="clear" w:color="auto" w:fill="FFFFFF"/>
          </w:tcPr>
          <w:p w14:paraId="1F0D10E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Качество исследования</w:t>
            </w:r>
          </w:p>
        </w:tc>
      </w:tr>
      <w:tr w:rsidR="004577D8" w:rsidRPr="00B45667" w14:paraId="1F0D10EB" w14:textId="77777777" w:rsidTr="00B45667">
        <w:trPr>
          <w:trHeight w:val="20"/>
        </w:trPr>
        <w:tc>
          <w:tcPr>
            <w:tcW w:w="15132" w:type="dxa"/>
            <w:gridSpan w:val="11"/>
            <w:tcBorders>
              <w:top w:val="single" w:sz="4" w:space="0" w:color="auto"/>
            </w:tcBorders>
            <w:shd w:val="clear" w:color="auto" w:fill="FFFFFF"/>
          </w:tcPr>
          <w:p w14:paraId="1F0D10EA"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Ишемическая болезнь сердца</w:t>
            </w:r>
          </w:p>
        </w:tc>
      </w:tr>
      <w:tr w:rsidR="004577D8" w:rsidRPr="00B45667" w14:paraId="1F0D10F9" w14:textId="77777777" w:rsidTr="00B45667">
        <w:trPr>
          <w:trHeight w:val="20"/>
        </w:trPr>
        <w:tc>
          <w:tcPr>
            <w:tcW w:w="1039" w:type="dxa"/>
            <w:shd w:val="clear" w:color="auto" w:fill="FFFFFF"/>
          </w:tcPr>
          <w:p w14:paraId="1F0D10E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Gartside и соавт. (1995) [23], исследование NHANES, США</w:t>
            </w:r>
          </w:p>
        </w:tc>
        <w:tc>
          <w:tcPr>
            <w:tcW w:w="954" w:type="dxa"/>
            <w:shd w:val="clear" w:color="auto" w:fill="FFFFFF"/>
          </w:tcPr>
          <w:p w14:paraId="1F0D10E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25–74</w:t>
            </w:r>
          </w:p>
        </w:tc>
        <w:tc>
          <w:tcPr>
            <w:tcW w:w="502" w:type="dxa"/>
            <w:shd w:val="clear" w:color="auto" w:fill="FFFFFF"/>
          </w:tcPr>
          <w:p w14:paraId="1F0D10E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Н/д</w:t>
            </w:r>
          </w:p>
        </w:tc>
        <w:tc>
          <w:tcPr>
            <w:tcW w:w="824" w:type="dxa"/>
            <w:shd w:val="clear" w:color="auto" w:fill="FFFFFF"/>
          </w:tcPr>
          <w:p w14:paraId="1F0D10E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10</w:t>
            </w:r>
          </w:p>
        </w:tc>
        <w:tc>
          <w:tcPr>
            <w:tcW w:w="1016" w:type="dxa"/>
            <w:shd w:val="clear" w:color="auto" w:fill="FFFFFF"/>
          </w:tcPr>
          <w:p w14:paraId="1F0D10F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8251/492</w:t>
            </w:r>
          </w:p>
        </w:tc>
        <w:tc>
          <w:tcPr>
            <w:tcW w:w="1157" w:type="dxa"/>
            <w:shd w:val="clear" w:color="auto" w:fill="FFFFFF"/>
          </w:tcPr>
          <w:p w14:paraId="1F0D10F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 xml:space="preserve">Исходная </w:t>
            </w:r>
            <w:r w:rsidRPr="00B45667">
              <w:rPr>
                <w:rFonts w:eastAsia="Lucida Sans Unicode" w:cs="Times New Roman"/>
                <w:lang w:bidi="ru-RU"/>
              </w:rPr>
              <w:br/>
              <w:t>концентрация магния в сыворотке крови (мэкв/л): &lt; 1,62; 1,62‒</w:t>
            </w:r>
          </w:p>
          <w:p w14:paraId="1F0D10F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&lt; 1,74; ≥ 1,74.</w:t>
            </w:r>
          </w:p>
        </w:tc>
        <w:tc>
          <w:tcPr>
            <w:tcW w:w="1987" w:type="dxa"/>
            <w:shd w:val="clear" w:color="auto" w:fill="FFFFFF"/>
          </w:tcPr>
          <w:p w14:paraId="1F0D10F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Н/д</w:t>
            </w:r>
          </w:p>
        </w:tc>
        <w:tc>
          <w:tcPr>
            <w:tcW w:w="2556" w:type="dxa"/>
            <w:shd w:val="clear" w:color="auto" w:fill="FFFFFF"/>
          </w:tcPr>
          <w:p w14:paraId="1F0D10F4"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Случаи ИБС выявлялись по записям в историях болезни стационарного больного и свидетельствам о смерти (коды 410‒414 для ИБС по МКБ-9).</w:t>
            </w:r>
          </w:p>
        </w:tc>
        <w:tc>
          <w:tcPr>
            <w:tcW w:w="2512" w:type="dxa"/>
            <w:shd w:val="clear" w:color="auto" w:fill="FFFFFF"/>
          </w:tcPr>
          <w:p w14:paraId="1F0D10F5" w14:textId="77777777" w:rsidR="004577D8" w:rsidRPr="00B45667" w:rsidRDefault="00722C17" w:rsidP="00C8426D">
            <w:pPr>
              <w:pStyle w:val="a4"/>
              <w:shd w:val="clear" w:color="auto" w:fill="auto"/>
              <w:spacing w:line="240" w:lineRule="auto"/>
              <w:ind w:right="113"/>
              <w:rPr>
                <w:rFonts w:cs="Times New Roman"/>
              </w:rPr>
            </w:pPr>
            <w:r w:rsidRPr="00B45667">
              <w:rPr>
                <w:rFonts w:eastAsia="Lucida Sans Unicode" w:cs="Times New Roman"/>
                <w:lang w:bidi="ru-RU"/>
              </w:rPr>
              <w:t>Пол, возраст, индекс массы тела, уровень физической нагрузки, скорость оседания эритроцитов, потребление железа с пищей, максимальная масса тела, табакокурение, употребление рибофлавина и алкоголя исходно.</w:t>
            </w:r>
          </w:p>
        </w:tc>
        <w:tc>
          <w:tcPr>
            <w:tcW w:w="1770" w:type="dxa"/>
            <w:shd w:val="clear" w:color="auto" w:fill="FFFFFF"/>
          </w:tcPr>
          <w:p w14:paraId="1F0D10F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ОР (95 % ДИ): 1,00 (группа сравнения); 0,96 (от 0,78 до</w:t>
            </w:r>
          </w:p>
          <w:p w14:paraId="1F0D10F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1,19); 0,68 (от 0,54 до 0,87).</w:t>
            </w:r>
          </w:p>
        </w:tc>
        <w:tc>
          <w:tcPr>
            <w:tcW w:w="815" w:type="dxa"/>
            <w:shd w:val="clear" w:color="auto" w:fill="FFFFFF"/>
          </w:tcPr>
          <w:p w14:paraId="1F0D10F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r w:rsidR="004577D8" w:rsidRPr="00B45667" w14:paraId="1F0D1109" w14:textId="77777777" w:rsidTr="00B45667">
        <w:trPr>
          <w:trHeight w:val="20"/>
        </w:trPr>
        <w:tc>
          <w:tcPr>
            <w:tcW w:w="1039" w:type="dxa"/>
            <w:shd w:val="clear" w:color="auto" w:fill="FFFFFF"/>
          </w:tcPr>
          <w:p w14:paraId="1F0D10FA"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Liao и соавт.</w:t>
            </w:r>
          </w:p>
          <w:p w14:paraId="1F0D10FB" w14:textId="77777777" w:rsidR="004577D8" w:rsidRPr="00B45667" w:rsidRDefault="006B75BF" w:rsidP="006B75BF">
            <w:pPr>
              <w:pStyle w:val="a4"/>
              <w:shd w:val="clear" w:color="auto" w:fill="auto"/>
              <w:spacing w:line="240" w:lineRule="auto"/>
              <w:ind w:right="113"/>
              <w:rPr>
                <w:rFonts w:cs="Times New Roman"/>
              </w:rPr>
            </w:pPr>
            <w:r w:rsidRPr="00B45667">
              <w:rPr>
                <w:rFonts w:eastAsia="Lucida Sans Unicode" w:cs="Times New Roman"/>
                <w:lang w:bidi="ru-RU"/>
              </w:rPr>
              <w:t>_Женщины (1998) [24], исследование ARIC,</w:t>
            </w:r>
          </w:p>
          <w:p w14:paraId="1F0D10F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США</w:t>
            </w:r>
          </w:p>
        </w:tc>
        <w:tc>
          <w:tcPr>
            <w:tcW w:w="954" w:type="dxa"/>
            <w:shd w:val="clear" w:color="auto" w:fill="FFFFFF"/>
          </w:tcPr>
          <w:p w14:paraId="1F0D10F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45‒64</w:t>
            </w:r>
          </w:p>
        </w:tc>
        <w:tc>
          <w:tcPr>
            <w:tcW w:w="502" w:type="dxa"/>
            <w:shd w:val="clear" w:color="auto" w:fill="FFFFFF"/>
          </w:tcPr>
          <w:p w14:paraId="1F0D10F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0</w:t>
            </w:r>
          </w:p>
        </w:tc>
        <w:tc>
          <w:tcPr>
            <w:tcW w:w="824" w:type="dxa"/>
            <w:shd w:val="clear" w:color="auto" w:fill="FFFFFF"/>
          </w:tcPr>
          <w:p w14:paraId="1F0D10F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5,2</w:t>
            </w:r>
          </w:p>
        </w:tc>
        <w:tc>
          <w:tcPr>
            <w:tcW w:w="1016" w:type="dxa"/>
            <w:shd w:val="clear" w:color="auto" w:fill="FFFFFF"/>
          </w:tcPr>
          <w:p w14:paraId="1F0D110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7767/96</w:t>
            </w:r>
          </w:p>
        </w:tc>
        <w:tc>
          <w:tcPr>
            <w:tcW w:w="1157" w:type="dxa"/>
            <w:shd w:val="clear" w:color="auto" w:fill="FFFFFF"/>
          </w:tcPr>
          <w:p w14:paraId="1F0D110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Исходная концентрация магния в сыворотке крови (мэкв/л): ≤ 1,5; 1,6; 1,7;</w:t>
            </w:r>
          </w:p>
          <w:p w14:paraId="1F0D110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1,8.</w:t>
            </w:r>
          </w:p>
        </w:tc>
        <w:tc>
          <w:tcPr>
            <w:tcW w:w="1987" w:type="dxa"/>
            <w:shd w:val="clear" w:color="auto" w:fill="FFFFFF"/>
          </w:tcPr>
          <w:p w14:paraId="1F0D110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556" w:type="dxa"/>
            <w:shd w:val="clear" w:color="auto" w:fill="FFFFFF"/>
          </w:tcPr>
          <w:p w14:paraId="1F0D1104" w14:textId="77777777" w:rsidR="004577D8" w:rsidRPr="00B45667" w:rsidRDefault="00722C17" w:rsidP="006B75BF">
            <w:pPr>
              <w:pStyle w:val="a4"/>
              <w:shd w:val="clear" w:color="auto" w:fill="auto"/>
              <w:spacing w:line="240" w:lineRule="auto"/>
              <w:ind w:right="113"/>
              <w:rPr>
                <w:rFonts w:eastAsia="Lucida Sans Unicode" w:cs="Times New Roman"/>
              </w:rPr>
            </w:pPr>
            <w:r w:rsidRPr="00B45667">
              <w:rPr>
                <w:rFonts w:eastAsia="Lucida Sans Unicode" w:cs="Times New Roman"/>
                <w:lang w:bidi="ru-RU"/>
              </w:rPr>
              <w:t>Случаи ИБС устанавливали по сообщениям от самих участников, записям в историях болезни и свидетельствам о смерти. Случаи внебольничной смерти подтверждались свидетельствами о смерти, беседой с ближайшими родственниками и опросниками, которые заполняли лечащие врачи пациентов.</w:t>
            </w:r>
          </w:p>
          <w:p w14:paraId="1F0D1105" w14:textId="77777777" w:rsidR="006B75BF" w:rsidRPr="00B45667" w:rsidRDefault="006B75BF" w:rsidP="006B75BF">
            <w:pPr>
              <w:pStyle w:val="a4"/>
              <w:shd w:val="clear" w:color="auto" w:fill="auto"/>
              <w:spacing w:line="240" w:lineRule="auto"/>
              <w:ind w:right="113"/>
              <w:rPr>
                <w:rFonts w:cs="Times New Roman"/>
              </w:rPr>
            </w:pPr>
          </w:p>
        </w:tc>
        <w:tc>
          <w:tcPr>
            <w:tcW w:w="2512" w:type="dxa"/>
            <w:shd w:val="clear" w:color="auto" w:fill="FFFFFF"/>
          </w:tcPr>
          <w:p w14:paraId="1F0D110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Возраст, расовая принадлежность, исследовательский центр, соотношение окружностей талии и бедер, статус курения, употребление спиртных напитков, уровень образования, уровень физической активности, фибриноген, общий холестерин и холестерин ЛПВП, триглицериды, прием диуретиков, заместительная гормональная терапия, САД, наличие сахарного диабета.</w:t>
            </w:r>
          </w:p>
        </w:tc>
        <w:tc>
          <w:tcPr>
            <w:tcW w:w="1770" w:type="dxa"/>
            <w:shd w:val="clear" w:color="auto" w:fill="FFFFFF"/>
          </w:tcPr>
          <w:p w14:paraId="1F0D110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 xml:space="preserve">ОР (95 % ДИ): 1,00 (группа сравнения); 1,02 (от 0,61 до 1,71); 0,59 (от 0,30 до 1,20); 0,55 (от 0,27 до 1,14) </w:t>
            </w:r>
            <w:r w:rsidRPr="00B45667">
              <w:rPr>
                <w:rFonts w:eastAsia="Lucida Sans Unicode" w:cs="Times New Roman"/>
                <w:i/>
                <w:lang w:bidi="ru-RU"/>
              </w:rPr>
              <w:t>P</w:t>
            </w:r>
            <w:r w:rsidRPr="00B45667">
              <w:rPr>
                <w:rFonts w:eastAsia="Lucida Sans Unicode" w:cs="Times New Roman"/>
                <w:lang w:bidi="ru-RU"/>
              </w:rPr>
              <w:t>-значение для тенденции</w:t>
            </w:r>
            <w:r w:rsidRPr="00B45667">
              <w:rPr>
                <w:rFonts w:eastAsia="Lucida Sans Unicode" w:cs="Times New Roman"/>
                <w:i/>
                <w:lang w:bidi="ru-RU"/>
              </w:rPr>
              <w:t> </w:t>
            </w:r>
            <w:r w:rsidRPr="00B45667">
              <w:rPr>
                <w:rFonts w:eastAsia="Lucida Sans Unicode" w:cs="Times New Roman"/>
                <w:lang w:bidi="ru-RU"/>
              </w:rPr>
              <w:t>= 0,047.</w:t>
            </w:r>
          </w:p>
        </w:tc>
        <w:tc>
          <w:tcPr>
            <w:tcW w:w="815" w:type="dxa"/>
            <w:shd w:val="clear" w:color="auto" w:fill="FFFFFF"/>
          </w:tcPr>
          <w:p w14:paraId="1F0D110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r w:rsidR="004577D8" w:rsidRPr="00B45667" w14:paraId="1F0D1119" w14:textId="77777777" w:rsidTr="00B45667">
        <w:trPr>
          <w:trHeight w:val="20"/>
        </w:trPr>
        <w:tc>
          <w:tcPr>
            <w:tcW w:w="1039" w:type="dxa"/>
            <w:shd w:val="clear" w:color="auto" w:fill="FFFFFF"/>
          </w:tcPr>
          <w:p w14:paraId="1F0D110A"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Liao и соавт. _Мужчины (1998) [24], исследование ARIC, США</w:t>
            </w:r>
          </w:p>
        </w:tc>
        <w:tc>
          <w:tcPr>
            <w:tcW w:w="954" w:type="dxa"/>
            <w:shd w:val="clear" w:color="auto" w:fill="FFFFFF"/>
          </w:tcPr>
          <w:p w14:paraId="1F0D110B"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45‒64</w:t>
            </w:r>
          </w:p>
        </w:tc>
        <w:tc>
          <w:tcPr>
            <w:tcW w:w="502" w:type="dxa"/>
            <w:shd w:val="clear" w:color="auto" w:fill="FFFFFF"/>
          </w:tcPr>
          <w:p w14:paraId="1F0D110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100</w:t>
            </w:r>
          </w:p>
        </w:tc>
        <w:tc>
          <w:tcPr>
            <w:tcW w:w="824" w:type="dxa"/>
            <w:shd w:val="clear" w:color="auto" w:fill="FFFFFF"/>
          </w:tcPr>
          <w:p w14:paraId="1F0D110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5,2</w:t>
            </w:r>
          </w:p>
        </w:tc>
        <w:tc>
          <w:tcPr>
            <w:tcW w:w="1016" w:type="dxa"/>
            <w:shd w:val="clear" w:color="auto" w:fill="FFFFFF"/>
          </w:tcPr>
          <w:p w14:paraId="1F0D110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6155/223</w:t>
            </w:r>
          </w:p>
        </w:tc>
        <w:tc>
          <w:tcPr>
            <w:tcW w:w="1157" w:type="dxa"/>
            <w:shd w:val="clear" w:color="auto" w:fill="FFFFFF"/>
          </w:tcPr>
          <w:p w14:paraId="1F0D110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Исходная</w:t>
            </w:r>
          </w:p>
          <w:p w14:paraId="1F0D111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концентрация магния в сыворотке крови (мэкв/л): ≤ 1,5; 1,6; 1,7;</w:t>
            </w:r>
          </w:p>
          <w:p w14:paraId="1F0D111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1,8.</w:t>
            </w:r>
          </w:p>
        </w:tc>
        <w:tc>
          <w:tcPr>
            <w:tcW w:w="1987" w:type="dxa"/>
            <w:shd w:val="clear" w:color="auto" w:fill="FFFFFF"/>
          </w:tcPr>
          <w:p w14:paraId="1F0D111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556" w:type="dxa"/>
            <w:shd w:val="clear" w:color="auto" w:fill="FFFFFF"/>
          </w:tcPr>
          <w:p w14:paraId="1F0D1113" w14:textId="77777777" w:rsidR="004577D8" w:rsidRPr="00B45667" w:rsidRDefault="00722C17" w:rsidP="006B75BF">
            <w:pPr>
              <w:pStyle w:val="a4"/>
              <w:shd w:val="clear" w:color="auto" w:fill="auto"/>
              <w:spacing w:line="240" w:lineRule="auto"/>
              <w:ind w:right="113"/>
              <w:rPr>
                <w:rFonts w:eastAsia="Lucida Sans Unicode" w:cs="Times New Roman"/>
              </w:rPr>
            </w:pPr>
            <w:r w:rsidRPr="00B45667">
              <w:rPr>
                <w:rFonts w:eastAsia="Lucida Sans Unicode" w:cs="Times New Roman"/>
                <w:lang w:bidi="ru-RU"/>
              </w:rPr>
              <w:t>Случаи ИБС устанавливали по сообщениям от самих участников, записям в историях болезни и свидетельствам о смерти. Случаи внебольничной смерти подтверждались свидетельствами о смерти, беседой с ближайшими родственниками и опросниками, которые заполняли лечащие врачи пациентов.</w:t>
            </w:r>
          </w:p>
          <w:p w14:paraId="1F0D1114" w14:textId="77777777" w:rsidR="006B75BF" w:rsidRPr="00B45667" w:rsidRDefault="006B75BF" w:rsidP="006B75BF">
            <w:pPr>
              <w:pStyle w:val="a4"/>
              <w:shd w:val="clear" w:color="auto" w:fill="auto"/>
              <w:spacing w:line="240" w:lineRule="auto"/>
              <w:ind w:right="113"/>
              <w:rPr>
                <w:rFonts w:cs="Times New Roman"/>
              </w:rPr>
            </w:pPr>
          </w:p>
        </w:tc>
        <w:tc>
          <w:tcPr>
            <w:tcW w:w="2512" w:type="dxa"/>
            <w:shd w:val="clear" w:color="auto" w:fill="FFFFFF"/>
          </w:tcPr>
          <w:p w14:paraId="1F0D1115"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Возраст, расовая принадлежность, исследовательский центр, соотношение окружностей талии и бедер, статус курения, употребление спиртных напитков, уровень образования, уровень физической активности, фибриноген, общий холестерин и холестерин ЛПВП, триглицериды, прием диуретиков, САД, наличие сахарного диабета.</w:t>
            </w:r>
          </w:p>
        </w:tc>
        <w:tc>
          <w:tcPr>
            <w:tcW w:w="1770" w:type="dxa"/>
            <w:shd w:val="clear" w:color="auto" w:fill="FFFFFF"/>
          </w:tcPr>
          <w:p w14:paraId="1F0D111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ОР (95 % ДИ): 1,00 (группа сравнения); 1,48 (от 1,03 до</w:t>
            </w:r>
          </w:p>
          <w:p w14:paraId="1F0D111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 xml:space="preserve">2,13); 1,08 (от 0,72 до 1,61); 0,84 (от 0,53 до 1,31) </w:t>
            </w:r>
            <w:r w:rsidRPr="00B45667">
              <w:rPr>
                <w:rFonts w:eastAsia="Lucida Sans Unicode" w:cs="Times New Roman"/>
                <w:i/>
                <w:lang w:bidi="ru-RU"/>
              </w:rPr>
              <w:t>P</w:t>
            </w:r>
            <w:r w:rsidRPr="00B45667">
              <w:rPr>
                <w:rFonts w:eastAsia="Lucida Sans Unicode" w:cs="Times New Roman"/>
                <w:lang w:bidi="ru-RU"/>
              </w:rPr>
              <w:t>-значение для тенденции = 0,23.</w:t>
            </w:r>
          </w:p>
        </w:tc>
        <w:tc>
          <w:tcPr>
            <w:tcW w:w="815" w:type="dxa"/>
            <w:shd w:val="clear" w:color="auto" w:fill="FFFFFF"/>
          </w:tcPr>
          <w:p w14:paraId="1F0D111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r w:rsidR="004577D8" w:rsidRPr="00B45667" w14:paraId="1F0D112E" w14:textId="77777777" w:rsidTr="00B45667">
        <w:trPr>
          <w:trHeight w:val="20"/>
        </w:trPr>
        <w:tc>
          <w:tcPr>
            <w:tcW w:w="1039" w:type="dxa"/>
            <w:shd w:val="clear" w:color="auto" w:fill="FFFFFF"/>
          </w:tcPr>
          <w:p w14:paraId="1F0D111A"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Ford и соавт.</w:t>
            </w:r>
          </w:p>
          <w:p w14:paraId="1F0D111B"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(1999) [25], исследование NHANES,</w:t>
            </w:r>
          </w:p>
          <w:p w14:paraId="1F0D111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США</w:t>
            </w:r>
          </w:p>
        </w:tc>
        <w:tc>
          <w:tcPr>
            <w:tcW w:w="954" w:type="dxa"/>
            <w:shd w:val="clear" w:color="auto" w:fill="FFFFFF"/>
          </w:tcPr>
          <w:p w14:paraId="1F0D111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25–74</w:t>
            </w:r>
          </w:p>
        </w:tc>
        <w:tc>
          <w:tcPr>
            <w:tcW w:w="502" w:type="dxa"/>
            <w:shd w:val="clear" w:color="auto" w:fill="FFFFFF"/>
          </w:tcPr>
          <w:p w14:paraId="1F0D111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40,1</w:t>
            </w:r>
          </w:p>
        </w:tc>
        <w:tc>
          <w:tcPr>
            <w:tcW w:w="824" w:type="dxa"/>
            <w:shd w:val="clear" w:color="auto" w:fill="FFFFFF"/>
          </w:tcPr>
          <w:p w14:paraId="1F0D111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15,5</w:t>
            </w:r>
          </w:p>
        </w:tc>
        <w:tc>
          <w:tcPr>
            <w:tcW w:w="1016" w:type="dxa"/>
            <w:shd w:val="clear" w:color="auto" w:fill="FFFFFF"/>
          </w:tcPr>
          <w:p w14:paraId="1F0D112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12 340/2637</w:t>
            </w:r>
          </w:p>
        </w:tc>
        <w:tc>
          <w:tcPr>
            <w:tcW w:w="1157" w:type="dxa"/>
            <w:shd w:val="clear" w:color="auto" w:fill="FFFFFF"/>
          </w:tcPr>
          <w:p w14:paraId="1F0D112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Исходная концентрация магния в сыворотке крови (ммоль/</w:t>
            </w:r>
          </w:p>
          <w:p w14:paraId="1F0D112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л): 0,41‒</w:t>
            </w:r>
          </w:p>
          <w:p w14:paraId="1F0D112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&lt; 0,80; 0,80‒</w:t>
            </w:r>
          </w:p>
          <w:p w14:paraId="1F0D1124" w14:textId="77777777" w:rsidR="004577D8" w:rsidRPr="00B45667" w:rsidRDefault="006B75BF" w:rsidP="006B75BF">
            <w:pPr>
              <w:pStyle w:val="a4"/>
              <w:shd w:val="clear" w:color="auto" w:fill="auto"/>
              <w:tabs>
                <w:tab w:val="left" w:pos="120"/>
              </w:tabs>
              <w:spacing w:line="240" w:lineRule="auto"/>
              <w:ind w:right="113"/>
              <w:rPr>
                <w:rFonts w:cs="Times New Roman"/>
              </w:rPr>
            </w:pPr>
            <w:r w:rsidRPr="00B45667">
              <w:rPr>
                <w:rFonts w:eastAsia="Lucida Sans Unicode" w:cs="Times New Roman"/>
                <w:lang w:bidi="ru-RU"/>
              </w:rPr>
              <w:t>&lt; 0,84; 0,84‒</w:t>
            </w:r>
          </w:p>
          <w:p w14:paraId="1F0D1125" w14:textId="77777777" w:rsidR="004577D8" w:rsidRPr="00B45667" w:rsidRDefault="006B75BF" w:rsidP="006B75BF">
            <w:pPr>
              <w:pStyle w:val="a4"/>
              <w:shd w:val="clear" w:color="auto" w:fill="auto"/>
              <w:tabs>
                <w:tab w:val="left" w:pos="120"/>
              </w:tabs>
              <w:spacing w:line="240" w:lineRule="auto"/>
              <w:ind w:right="113"/>
              <w:rPr>
                <w:rFonts w:cs="Times New Roman"/>
              </w:rPr>
            </w:pPr>
            <w:r w:rsidRPr="00B45667">
              <w:rPr>
                <w:rFonts w:eastAsia="Lucida Sans Unicode" w:cs="Times New Roman"/>
                <w:lang w:bidi="ru-RU"/>
              </w:rPr>
              <w:t>&lt; 0,89; 0,89‒</w:t>
            </w:r>
          </w:p>
          <w:p w14:paraId="1F0D112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1,45.</w:t>
            </w:r>
          </w:p>
        </w:tc>
        <w:tc>
          <w:tcPr>
            <w:tcW w:w="1987" w:type="dxa"/>
            <w:shd w:val="clear" w:color="auto" w:fill="FFFFFF"/>
          </w:tcPr>
          <w:p w14:paraId="1F0D112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Атомная абсорбционная спектрофотометрия.</w:t>
            </w:r>
          </w:p>
        </w:tc>
        <w:tc>
          <w:tcPr>
            <w:tcW w:w="2556" w:type="dxa"/>
            <w:shd w:val="clear" w:color="auto" w:fill="FFFFFF"/>
          </w:tcPr>
          <w:p w14:paraId="1F0D112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Случаи ИБС устанавливали по записям в историях болезни стационарного больного (коды 410‒414 по МКБ-9-КМ)</w:t>
            </w:r>
          </w:p>
        </w:tc>
        <w:tc>
          <w:tcPr>
            <w:tcW w:w="2512" w:type="dxa"/>
            <w:shd w:val="clear" w:color="auto" w:fill="FFFFFF"/>
          </w:tcPr>
          <w:p w14:paraId="1F0D1129"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Возраст, пол, расовая принадлежность, уровень образования, курение, холестерин, САД, прием антигипертензивных препаратов, сахарный диабет, по словам самих участников, ИМТ, физическая активность на работе и во время отдыха, употребление алкоголя.</w:t>
            </w:r>
          </w:p>
        </w:tc>
        <w:tc>
          <w:tcPr>
            <w:tcW w:w="1770" w:type="dxa"/>
            <w:shd w:val="clear" w:color="auto" w:fill="FFFFFF"/>
          </w:tcPr>
          <w:p w14:paraId="1F0D112A" w14:textId="77777777" w:rsidR="004577D8" w:rsidRPr="00B45667" w:rsidRDefault="006B75BF" w:rsidP="006B75BF">
            <w:pPr>
              <w:pStyle w:val="a4"/>
              <w:shd w:val="clear" w:color="auto" w:fill="auto"/>
              <w:spacing w:line="240" w:lineRule="auto"/>
              <w:ind w:right="113"/>
              <w:rPr>
                <w:rFonts w:cs="Times New Roman"/>
              </w:rPr>
            </w:pPr>
            <w:r w:rsidRPr="00B45667">
              <w:rPr>
                <w:rFonts w:eastAsia="Lucida Sans Unicode" w:cs="Times New Roman"/>
                <w:lang w:bidi="ru-RU"/>
              </w:rPr>
              <w:t>ОР (95 % ДИ): 1,00</w:t>
            </w:r>
          </w:p>
          <w:p w14:paraId="1F0D112B"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(группа сравнения); 0,95 (от 0,79 до</w:t>
            </w:r>
          </w:p>
          <w:p w14:paraId="1F0D112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1,14); 0,87 (от 0,73 до 1,04); 0,92 (от 0,79 до 1,07).</w:t>
            </w:r>
          </w:p>
        </w:tc>
        <w:tc>
          <w:tcPr>
            <w:tcW w:w="815" w:type="dxa"/>
            <w:shd w:val="clear" w:color="auto" w:fill="FFFFFF"/>
          </w:tcPr>
          <w:p w14:paraId="1F0D112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r w:rsidR="004577D8" w:rsidRPr="00B45667" w14:paraId="1F0D113F" w14:textId="77777777" w:rsidTr="00B45667">
        <w:trPr>
          <w:trHeight w:val="20"/>
        </w:trPr>
        <w:tc>
          <w:tcPr>
            <w:tcW w:w="1039" w:type="dxa"/>
            <w:shd w:val="clear" w:color="auto" w:fill="FFFFFF"/>
          </w:tcPr>
          <w:p w14:paraId="1F0D112F"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Khan и соавт. (2010) [26], Фрамингемское исследование потомков, США</w:t>
            </w:r>
          </w:p>
        </w:tc>
        <w:tc>
          <w:tcPr>
            <w:tcW w:w="954" w:type="dxa"/>
            <w:shd w:val="clear" w:color="auto" w:fill="FFFFFF"/>
          </w:tcPr>
          <w:p w14:paraId="1F0D113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44,3 ± 10,0</w:t>
            </w:r>
          </w:p>
        </w:tc>
        <w:tc>
          <w:tcPr>
            <w:tcW w:w="502" w:type="dxa"/>
            <w:shd w:val="clear" w:color="auto" w:fill="FFFFFF"/>
          </w:tcPr>
          <w:p w14:paraId="1F0D113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48,3</w:t>
            </w:r>
          </w:p>
        </w:tc>
        <w:tc>
          <w:tcPr>
            <w:tcW w:w="824" w:type="dxa"/>
            <w:shd w:val="clear" w:color="auto" w:fill="FFFFFF"/>
          </w:tcPr>
          <w:p w14:paraId="1F0D113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20</w:t>
            </w:r>
          </w:p>
        </w:tc>
        <w:tc>
          <w:tcPr>
            <w:tcW w:w="1016" w:type="dxa"/>
            <w:shd w:val="clear" w:color="auto" w:fill="FFFFFF"/>
          </w:tcPr>
          <w:p w14:paraId="1F0D113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3531/554</w:t>
            </w:r>
          </w:p>
        </w:tc>
        <w:tc>
          <w:tcPr>
            <w:tcW w:w="1157" w:type="dxa"/>
            <w:shd w:val="clear" w:color="auto" w:fill="FFFFFF"/>
          </w:tcPr>
          <w:p w14:paraId="1F0D1134"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Исходная</w:t>
            </w:r>
          </w:p>
          <w:p w14:paraId="1F0D1135"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концентрация магния в сыворотке крови (мг/дл): 1,40‒1,77;</w:t>
            </w:r>
          </w:p>
          <w:p w14:paraId="1F0D1136"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1,77‒1,88;</w:t>
            </w:r>
          </w:p>
          <w:p w14:paraId="1F0D113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1,88‒1,98;</w:t>
            </w:r>
          </w:p>
          <w:p w14:paraId="1F0D113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1,98‒2,50.</w:t>
            </w:r>
          </w:p>
        </w:tc>
        <w:tc>
          <w:tcPr>
            <w:tcW w:w="1987" w:type="dxa"/>
            <w:shd w:val="clear" w:color="auto" w:fill="FFFFFF"/>
          </w:tcPr>
          <w:p w14:paraId="1F0D1139"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Концентрацию магния в сыворотке крови измеряли с помощью стандартного колориметрического анализа.</w:t>
            </w:r>
          </w:p>
        </w:tc>
        <w:tc>
          <w:tcPr>
            <w:tcW w:w="2556" w:type="dxa"/>
            <w:shd w:val="clear" w:color="auto" w:fill="FFFFFF"/>
          </w:tcPr>
          <w:p w14:paraId="1F0D113A" w14:textId="77777777" w:rsidR="004577D8" w:rsidRPr="00B45667" w:rsidRDefault="00722C17" w:rsidP="00C8426D">
            <w:pPr>
              <w:pStyle w:val="a4"/>
              <w:shd w:val="clear" w:color="auto" w:fill="auto"/>
              <w:spacing w:line="240" w:lineRule="auto"/>
              <w:ind w:right="113"/>
              <w:rPr>
                <w:rFonts w:cs="Times New Roman"/>
              </w:rPr>
            </w:pPr>
            <w:r w:rsidRPr="00B45667">
              <w:rPr>
                <w:rFonts w:eastAsia="Lucida Sans Unicode" w:cs="Times New Roman"/>
                <w:lang w:bidi="ru-RU"/>
              </w:rPr>
              <w:t>Сердечно-сосудистые события определяли как стенокардию, коронарную недостаточность (затяжной приступ стенокардии с изменениями на ЭКГ), ИМ, инсульт или транзиторную ишемическую атаку, сердечную недостаточность, перемежающуюся хромоту или летальный исход вследствие ССЗ.</w:t>
            </w:r>
          </w:p>
        </w:tc>
        <w:tc>
          <w:tcPr>
            <w:tcW w:w="2512" w:type="dxa"/>
            <w:shd w:val="clear" w:color="auto" w:fill="FFFFFF"/>
          </w:tcPr>
          <w:p w14:paraId="1F0D113B"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Возраст, пол, ИМТ, сахарный диабет, САД, соотношение общего холестерина и холестерина ЛПВП, курение, уровни гемоглобина, альбумина и рСКФ.</w:t>
            </w:r>
          </w:p>
        </w:tc>
        <w:tc>
          <w:tcPr>
            <w:tcW w:w="1770" w:type="dxa"/>
            <w:shd w:val="clear" w:color="auto" w:fill="FFFFFF"/>
          </w:tcPr>
          <w:p w14:paraId="1F0D113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ОР (95 % ДИ): 1,00 (группа сравнения); 1,09 (от 0,86 до</w:t>
            </w:r>
          </w:p>
          <w:p w14:paraId="1F0D113D"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 xml:space="preserve">1,37); 0,88 (от 0,69 до 1,13); 0,91 (от 0,72 до 1,17) </w:t>
            </w:r>
            <w:r w:rsidRPr="00B45667">
              <w:rPr>
                <w:rFonts w:eastAsia="Lucida Sans Unicode" w:cs="Times New Roman"/>
                <w:i/>
                <w:lang w:bidi="ru-RU"/>
              </w:rPr>
              <w:t>P-</w:t>
            </w:r>
            <w:r w:rsidRPr="00B45667">
              <w:rPr>
                <w:rFonts w:eastAsia="Lucida Sans Unicode" w:cs="Times New Roman"/>
                <w:lang w:bidi="ru-RU"/>
              </w:rPr>
              <w:t>значение для тенденции = 0,23. Непрерывное (↑0,15 мг/дл) 0,83 (от 0,49 до 1,40).</w:t>
            </w:r>
          </w:p>
        </w:tc>
        <w:tc>
          <w:tcPr>
            <w:tcW w:w="815" w:type="dxa"/>
            <w:shd w:val="clear" w:color="auto" w:fill="FFFFFF"/>
          </w:tcPr>
          <w:p w14:paraId="1F0D113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r w:rsidR="004577D8" w:rsidRPr="00B45667" w14:paraId="1F0D114F" w14:textId="77777777" w:rsidTr="00B45667">
        <w:trPr>
          <w:trHeight w:val="20"/>
        </w:trPr>
        <w:tc>
          <w:tcPr>
            <w:tcW w:w="1039" w:type="dxa"/>
            <w:shd w:val="clear" w:color="auto" w:fill="FFFFFF"/>
          </w:tcPr>
          <w:p w14:paraId="1F0D1140"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Joosten и соавт. (2013 a) [27], исследование PREVEND, Нидерланды</w:t>
            </w:r>
          </w:p>
        </w:tc>
        <w:tc>
          <w:tcPr>
            <w:tcW w:w="954" w:type="dxa"/>
            <w:shd w:val="clear" w:color="auto" w:fill="FFFFFF"/>
          </w:tcPr>
          <w:p w14:paraId="1F0D1141"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28‒75</w:t>
            </w:r>
          </w:p>
        </w:tc>
        <w:tc>
          <w:tcPr>
            <w:tcW w:w="502" w:type="dxa"/>
            <w:shd w:val="clear" w:color="auto" w:fill="FFFFFF"/>
          </w:tcPr>
          <w:p w14:paraId="1F0D1142"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49</w:t>
            </w:r>
          </w:p>
        </w:tc>
        <w:tc>
          <w:tcPr>
            <w:tcW w:w="824" w:type="dxa"/>
            <w:shd w:val="clear" w:color="auto" w:fill="FFFFFF"/>
          </w:tcPr>
          <w:p w14:paraId="1F0D1143"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8,1</w:t>
            </w:r>
          </w:p>
        </w:tc>
        <w:tc>
          <w:tcPr>
            <w:tcW w:w="1016" w:type="dxa"/>
            <w:shd w:val="clear" w:color="auto" w:fill="FFFFFF"/>
          </w:tcPr>
          <w:p w14:paraId="1F0D1144"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7764/435</w:t>
            </w:r>
          </w:p>
        </w:tc>
        <w:tc>
          <w:tcPr>
            <w:tcW w:w="1157" w:type="dxa"/>
            <w:shd w:val="clear" w:color="auto" w:fill="FFFFFF"/>
          </w:tcPr>
          <w:p w14:paraId="1F0D1145" w14:textId="77777777" w:rsidR="006B75BF" w:rsidRPr="00B45667" w:rsidRDefault="00722C17" w:rsidP="006B75BF">
            <w:pPr>
              <w:pStyle w:val="a4"/>
              <w:shd w:val="clear" w:color="auto" w:fill="auto"/>
              <w:spacing w:line="240" w:lineRule="auto"/>
              <w:ind w:right="113"/>
              <w:rPr>
                <w:rFonts w:eastAsia="Lucida Sans Unicode" w:cs="Times New Roman"/>
              </w:rPr>
            </w:pPr>
            <w:r w:rsidRPr="00B45667">
              <w:rPr>
                <w:rFonts w:eastAsia="Lucida Sans Unicode" w:cs="Times New Roman"/>
                <w:lang w:bidi="ru-RU"/>
              </w:rPr>
              <w:t xml:space="preserve">Исходная концентрация магния в плазме крови (ммоль/л): &lt; 0,77; </w:t>
            </w:r>
          </w:p>
          <w:p w14:paraId="1F0D1146" w14:textId="77777777" w:rsidR="006B75BF" w:rsidRPr="00B45667" w:rsidRDefault="00722C17" w:rsidP="006B75BF">
            <w:pPr>
              <w:pStyle w:val="a4"/>
              <w:shd w:val="clear" w:color="auto" w:fill="auto"/>
              <w:spacing w:line="240" w:lineRule="auto"/>
              <w:ind w:right="113"/>
              <w:rPr>
                <w:rFonts w:eastAsia="Lucida Sans Unicode" w:cs="Times New Roman"/>
              </w:rPr>
            </w:pPr>
            <w:r w:rsidRPr="00B45667">
              <w:rPr>
                <w:rFonts w:eastAsia="Lucida Sans Unicode" w:cs="Times New Roman"/>
                <w:lang w:bidi="ru-RU"/>
              </w:rPr>
              <w:t xml:space="preserve">0,77‒0,79; </w:t>
            </w:r>
          </w:p>
          <w:p w14:paraId="1F0D1147"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0,80‒0,82;</w:t>
            </w:r>
          </w:p>
        </w:tc>
        <w:tc>
          <w:tcPr>
            <w:tcW w:w="1987" w:type="dxa"/>
            <w:shd w:val="clear" w:color="auto" w:fill="FFFFFF"/>
          </w:tcPr>
          <w:p w14:paraId="1F0D1148"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Концентрацию магния в плазме крови определяли с помощью ксилидилового синего.</w:t>
            </w:r>
          </w:p>
        </w:tc>
        <w:tc>
          <w:tcPr>
            <w:tcW w:w="2556" w:type="dxa"/>
            <w:shd w:val="clear" w:color="auto" w:fill="FFFFFF"/>
          </w:tcPr>
          <w:p w14:paraId="1F0D114A" w14:textId="6C362906" w:rsidR="006B75BF" w:rsidRPr="00B45667" w:rsidRDefault="00722C17" w:rsidP="006B75BF">
            <w:pPr>
              <w:pStyle w:val="a4"/>
              <w:shd w:val="clear" w:color="auto" w:fill="auto"/>
              <w:spacing w:line="240" w:lineRule="auto"/>
              <w:ind w:right="113"/>
              <w:rPr>
                <w:rFonts w:eastAsia="Lucida Sans Unicode" w:cs="Times New Roman"/>
              </w:rPr>
            </w:pPr>
            <w:r w:rsidRPr="00B45667">
              <w:rPr>
                <w:rFonts w:eastAsia="Lucida Sans Unicode" w:cs="Times New Roman"/>
                <w:lang w:bidi="ru-RU"/>
              </w:rPr>
              <w:t>Новыми случаями ИБС считались: развитие острого инфаркта миокарда (код I21 в МКБ-10), госпитализация по поводу другого острого ишемического нарушения коронарного кровообращения (код I24 по МКБ-10), выполнение операции аортокоронарного шунтирования или</w:t>
            </w:r>
          </w:p>
        </w:tc>
        <w:tc>
          <w:tcPr>
            <w:tcW w:w="2512" w:type="dxa"/>
            <w:shd w:val="clear" w:color="auto" w:fill="FFFFFF"/>
          </w:tcPr>
          <w:p w14:paraId="1F0D114B"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Возраст, пол, ИМТ, курение, сахарный диабет, отношение общего холестерина к холестерину ЛПВП, семейный анамнез ИБС, употребление алкоголя, концентрации натрия, калия и кальция в плазме крови.</w:t>
            </w:r>
          </w:p>
        </w:tc>
        <w:tc>
          <w:tcPr>
            <w:tcW w:w="1770" w:type="dxa"/>
            <w:shd w:val="clear" w:color="auto" w:fill="FFFFFF"/>
          </w:tcPr>
          <w:p w14:paraId="1F0D114C"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ОР (95 % ДИ): 1,06 (от 0,79 до</w:t>
            </w:r>
          </w:p>
          <w:p w14:paraId="1F0D114D" w14:textId="77777777" w:rsidR="004577D8" w:rsidRPr="00B45667" w:rsidRDefault="00722C17" w:rsidP="006B75BF">
            <w:pPr>
              <w:pStyle w:val="a4"/>
              <w:shd w:val="clear" w:color="auto" w:fill="auto"/>
              <w:tabs>
                <w:tab w:val="left" w:pos="274"/>
              </w:tabs>
              <w:spacing w:line="240" w:lineRule="auto"/>
              <w:ind w:right="113"/>
              <w:rPr>
                <w:rFonts w:cs="Times New Roman"/>
              </w:rPr>
            </w:pPr>
            <w:r w:rsidRPr="00B45667">
              <w:rPr>
                <w:rFonts w:eastAsia="Lucida Sans Unicode" w:cs="Times New Roman"/>
                <w:lang w:bidi="ru-RU"/>
              </w:rPr>
              <w:t xml:space="preserve">1,43; 0,90 (от 0,66 до 1,22); 1,00 (группа сравнения); 1,08 (от 0,80 до </w:t>
            </w:r>
            <w:r w:rsidRPr="00B45667">
              <w:rPr>
                <w:rFonts w:eastAsia="Lucida Sans Unicode" w:cs="Times New Roman"/>
                <w:lang w:bidi="ru-RU"/>
              </w:rPr>
              <w:br/>
              <w:t xml:space="preserve">1,45); 1,07 (от 0,80 до </w:t>
            </w:r>
            <w:r w:rsidRPr="00B45667">
              <w:rPr>
                <w:rFonts w:eastAsia="Lucida Sans Unicode" w:cs="Times New Roman"/>
                <w:lang w:bidi="ru-RU"/>
              </w:rPr>
              <w:br/>
              <w:t xml:space="preserve">1,43). </w:t>
            </w:r>
            <w:r w:rsidRPr="00B45667">
              <w:rPr>
                <w:rFonts w:eastAsia="Lucida Sans Unicode" w:cs="Times New Roman"/>
                <w:i/>
                <w:lang w:bidi="ru-RU"/>
              </w:rPr>
              <w:t>P</w:t>
            </w:r>
            <w:r w:rsidRPr="00B45667">
              <w:rPr>
                <w:rFonts w:eastAsia="Lucida Sans Unicode" w:cs="Times New Roman"/>
                <w:lang w:bidi="ru-RU"/>
              </w:rPr>
              <w:t>-значение для тенденции</w:t>
            </w:r>
            <w:r w:rsidRPr="00B45667">
              <w:rPr>
                <w:rFonts w:eastAsia="Lucida Sans Unicode" w:cs="Times New Roman"/>
                <w:i/>
                <w:lang w:bidi="ru-RU"/>
              </w:rPr>
              <w:t xml:space="preserve"> = </w:t>
            </w:r>
            <w:r w:rsidRPr="00B45667">
              <w:rPr>
                <w:rFonts w:eastAsia="Lucida Sans Unicode" w:cs="Times New Roman"/>
                <w:lang w:bidi="ru-RU"/>
              </w:rPr>
              <w:t>0,59.</w:t>
            </w:r>
          </w:p>
        </w:tc>
        <w:tc>
          <w:tcPr>
            <w:tcW w:w="815" w:type="dxa"/>
            <w:shd w:val="clear" w:color="auto" w:fill="FFFFFF"/>
          </w:tcPr>
          <w:p w14:paraId="1F0D114E" w14:textId="77777777" w:rsidR="004577D8" w:rsidRPr="00B45667" w:rsidRDefault="00722C17" w:rsidP="006B75BF">
            <w:pPr>
              <w:pStyle w:val="a4"/>
              <w:shd w:val="clear" w:color="auto" w:fill="auto"/>
              <w:spacing w:line="240" w:lineRule="auto"/>
              <w:ind w:right="113"/>
              <w:rPr>
                <w:rFonts w:cs="Times New Roman"/>
              </w:rPr>
            </w:pPr>
            <w:r w:rsidRPr="00B45667">
              <w:rPr>
                <w:rFonts w:eastAsia="Lucida Sans Unicode" w:cs="Times New Roman"/>
                <w:lang w:bidi="ru-RU"/>
              </w:rPr>
              <w:t>9</w:t>
            </w:r>
          </w:p>
        </w:tc>
      </w:tr>
    </w:tbl>
    <w:p w14:paraId="1F0D1150" w14:textId="77777777" w:rsidR="004577D8" w:rsidRPr="00B45667" w:rsidRDefault="004577D8">
      <w:pPr>
        <w:spacing w:line="1" w:lineRule="exact"/>
        <w:rPr>
          <w:rFonts w:cs="Times New Roman"/>
        </w:rPr>
      </w:pPr>
    </w:p>
    <w:p w14:paraId="1F0D1151" w14:textId="77777777" w:rsidR="006B75BF" w:rsidRPr="00B45667" w:rsidRDefault="006B75BF">
      <w:pPr>
        <w:rPr>
          <w:rFonts w:cs="Times New Roman"/>
        </w:rPr>
      </w:pPr>
      <w:r w:rsidRPr="00B45667">
        <w:rPr>
          <w:rFonts w:cs="Times New Roman"/>
          <w:lang w:bidi="ru-RU"/>
        </w:rPr>
        <w:br w:type="page"/>
      </w:r>
    </w:p>
    <w:p w14:paraId="1F0D1152" w14:textId="77777777" w:rsidR="006B75BF" w:rsidRPr="00B45667" w:rsidRDefault="006B75BF" w:rsidP="00B4476D">
      <w:pPr>
        <w:spacing w:after="40"/>
        <w:rPr>
          <w:rFonts w:cs="Times New Roman"/>
        </w:rPr>
      </w:pPr>
      <w:r w:rsidRPr="00B45667">
        <w:rPr>
          <w:rFonts w:eastAsia="Segoe UI" w:cs="Times New Roman"/>
          <w:b/>
          <w:color w:val="auto"/>
          <w:szCs w:val="18"/>
          <w:lang w:bidi="ru-RU"/>
        </w:rPr>
        <w:lastRenderedPageBreak/>
        <w:t>Таблица 1.</w:t>
      </w:r>
      <w:r w:rsidRPr="00B45667">
        <w:rPr>
          <w:rFonts w:eastAsia="Segoe UI" w:cs="Times New Roman"/>
          <w:color w:val="auto"/>
          <w:szCs w:val="18"/>
          <w:lang w:bidi="ru-RU"/>
        </w:rPr>
        <w:t xml:space="preserve"> Характеристики 11 проспективных исследований, включенных в метаанализ (продолжение)</w:t>
      </w:r>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1042"/>
        <w:gridCol w:w="912"/>
        <w:gridCol w:w="544"/>
        <w:gridCol w:w="617"/>
        <w:gridCol w:w="1203"/>
        <w:gridCol w:w="1197"/>
        <w:gridCol w:w="2000"/>
        <w:gridCol w:w="2580"/>
        <w:gridCol w:w="2501"/>
        <w:gridCol w:w="1895"/>
        <w:gridCol w:w="675"/>
      </w:tblGrid>
      <w:tr w:rsidR="004577D8" w:rsidRPr="00B45667" w14:paraId="1F0D115F" w14:textId="77777777" w:rsidTr="00B4476D">
        <w:trPr>
          <w:trHeight w:val="20"/>
        </w:trPr>
        <w:tc>
          <w:tcPr>
            <w:tcW w:w="1040" w:type="dxa"/>
            <w:tcBorders>
              <w:top w:val="single" w:sz="4" w:space="0" w:color="auto"/>
            </w:tcBorders>
            <w:shd w:val="clear" w:color="auto" w:fill="FFFFFF"/>
          </w:tcPr>
          <w:p w14:paraId="1F0D1153" w14:textId="77777777" w:rsidR="004577D8" w:rsidRPr="00B45667" w:rsidRDefault="004577D8" w:rsidP="006B75BF">
            <w:pPr>
              <w:rPr>
                <w:rFonts w:cs="Times New Roman"/>
                <w:sz w:val="13"/>
                <w:szCs w:val="13"/>
              </w:rPr>
            </w:pPr>
          </w:p>
        </w:tc>
        <w:tc>
          <w:tcPr>
            <w:tcW w:w="910" w:type="dxa"/>
            <w:tcBorders>
              <w:top w:val="single" w:sz="4" w:space="0" w:color="auto"/>
            </w:tcBorders>
            <w:shd w:val="clear" w:color="auto" w:fill="FFFFFF"/>
          </w:tcPr>
          <w:p w14:paraId="1F0D1154" w14:textId="77777777" w:rsidR="004577D8" w:rsidRPr="00B45667" w:rsidRDefault="004577D8" w:rsidP="006B75BF">
            <w:pPr>
              <w:rPr>
                <w:rFonts w:cs="Times New Roman"/>
                <w:sz w:val="13"/>
                <w:szCs w:val="13"/>
              </w:rPr>
            </w:pPr>
          </w:p>
        </w:tc>
        <w:tc>
          <w:tcPr>
            <w:tcW w:w="543" w:type="dxa"/>
            <w:tcBorders>
              <w:top w:val="single" w:sz="4" w:space="0" w:color="auto"/>
            </w:tcBorders>
            <w:shd w:val="clear" w:color="auto" w:fill="FFFFFF"/>
          </w:tcPr>
          <w:p w14:paraId="1F0D1155" w14:textId="77777777" w:rsidR="004577D8" w:rsidRPr="00B45667" w:rsidRDefault="004577D8" w:rsidP="006B75BF">
            <w:pPr>
              <w:rPr>
                <w:rFonts w:cs="Times New Roman"/>
                <w:sz w:val="13"/>
                <w:szCs w:val="13"/>
              </w:rPr>
            </w:pPr>
          </w:p>
        </w:tc>
        <w:tc>
          <w:tcPr>
            <w:tcW w:w="616" w:type="dxa"/>
            <w:tcBorders>
              <w:top w:val="single" w:sz="4" w:space="0" w:color="auto"/>
            </w:tcBorders>
            <w:shd w:val="clear" w:color="auto" w:fill="FFFFFF"/>
          </w:tcPr>
          <w:p w14:paraId="1F0D1156" w14:textId="77777777" w:rsidR="004577D8" w:rsidRPr="00B45667" w:rsidRDefault="004577D8" w:rsidP="006B75BF">
            <w:pPr>
              <w:rPr>
                <w:rFonts w:cs="Times New Roman"/>
                <w:sz w:val="13"/>
                <w:szCs w:val="13"/>
              </w:rPr>
            </w:pPr>
          </w:p>
        </w:tc>
        <w:tc>
          <w:tcPr>
            <w:tcW w:w="1200" w:type="dxa"/>
            <w:tcBorders>
              <w:top w:val="single" w:sz="4" w:space="0" w:color="auto"/>
            </w:tcBorders>
            <w:shd w:val="clear" w:color="auto" w:fill="FFFFFF"/>
          </w:tcPr>
          <w:p w14:paraId="1F0D1157" w14:textId="77777777" w:rsidR="004577D8" w:rsidRPr="00B45667" w:rsidRDefault="004577D8" w:rsidP="006B75BF">
            <w:pPr>
              <w:rPr>
                <w:rFonts w:cs="Times New Roman"/>
                <w:sz w:val="13"/>
                <w:szCs w:val="13"/>
              </w:rPr>
            </w:pPr>
          </w:p>
        </w:tc>
        <w:tc>
          <w:tcPr>
            <w:tcW w:w="1194" w:type="dxa"/>
            <w:tcBorders>
              <w:top w:val="single" w:sz="4" w:space="0" w:color="auto"/>
            </w:tcBorders>
            <w:shd w:val="clear" w:color="auto" w:fill="FFFFFF"/>
          </w:tcPr>
          <w:p w14:paraId="1F0D1158"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0,83‒0,85;</w:t>
            </w:r>
          </w:p>
          <w:p w14:paraId="1F0D1159"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&gt; 0,85.</w:t>
            </w:r>
          </w:p>
        </w:tc>
        <w:tc>
          <w:tcPr>
            <w:tcW w:w="1996" w:type="dxa"/>
            <w:tcBorders>
              <w:top w:val="single" w:sz="4" w:space="0" w:color="auto"/>
            </w:tcBorders>
            <w:shd w:val="clear" w:color="auto" w:fill="FFFFFF"/>
          </w:tcPr>
          <w:p w14:paraId="1F0D115A" w14:textId="77777777" w:rsidR="004577D8" w:rsidRPr="00B45667" w:rsidRDefault="004577D8" w:rsidP="006B75BF">
            <w:pPr>
              <w:rPr>
                <w:rFonts w:cs="Times New Roman"/>
                <w:sz w:val="13"/>
                <w:szCs w:val="13"/>
              </w:rPr>
            </w:pPr>
          </w:p>
        </w:tc>
        <w:tc>
          <w:tcPr>
            <w:tcW w:w="2574" w:type="dxa"/>
            <w:tcBorders>
              <w:top w:val="single" w:sz="4" w:space="0" w:color="auto"/>
            </w:tcBorders>
            <w:shd w:val="clear" w:color="auto" w:fill="FFFFFF"/>
          </w:tcPr>
          <w:p w14:paraId="1F0D115B" w14:textId="77777777" w:rsidR="004577D8" w:rsidRPr="00B45667" w:rsidRDefault="00722C17" w:rsidP="00C8426D">
            <w:pPr>
              <w:pStyle w:val="a4"/>
              <w:shd w:val="clear" w:color="auto" w:fill="auto"/>
              <w:spacing w:line="240" w:lineRule="auto"/>
              <w:ind w:right="38"/>
              <w:rPr>
                <w:rFonts w:cs="Times New Roman"/>
              </w:rPr>
            </w:pPr>
            <w:r w:rsidRPr="00B45667">
              <w:rPr>
                <w:rFonts w:eastAsia="Lucida Sans Unicode" w:cs="Times New Roman"/>
                <w:lang w:bidi="ru-RU"/>
              </w:rPr>
              <w:t>чрескожной транслюминальной коронарной ангиопластики.</w:t>
            </w:r>
          </w:p>
        </w:tc>
        <w:tc>
          <w:tcPr>
            <w:tcW w:w="2495" w:type="dxa"/>
            <w:tcBorders>
              <w:top w:val="single" w:sz="4" w:space="0" w:color="auto"/>
            </w:tcBorders>
            <w:shd w:val="clear" w:color="auto" w:fill="FFFFFF"/>
          </w:tcPr>
          <w:p w14:paraId="1F0D115C" w14:textId="77777777" w:rsidR="004577D8" w:rsidRPr="00B45667" w:rsidRDefault="004577D8" w:rsidP="006B75BF">
            <w:pPr>
              <w:rPr>
                <w:rFonts w:cs="Times New Roman"/>
                <w:sz w:val="13"/>
                <w:szCs w:val="13"/>
              </w:rPr>
            </w:pPr>
          </w:p>
        </w:tc>
        <w:tc>
          <w:tcPr>
            <w:tcW w:w="1891" w:type="dxa"/>
            <w:tcBorders>
              <w:top w:val="single" w:sz="4" w:space="0" w:color="auto"/>
            </w:tcBorders>
            <w:shd w:val="clear" w:color="auto" w:fill="FFFFFF"/>
          </w:tcPr>
          <w:p w14:paraId="1F0D115D" w14:textId="77777777" w:rsidR="004577D8" w:rsidRPr="00B45667" w:rsidRDefault="004577D8" w:rsidP="006B75BF">
            <w:pPr>
              <w:rPr>
                <w:rFonts w:cs="Times New Roman"/>
                <w:sz w:val="13"/>
                <w:szCs w:val="13"/>
              </w:rPr>
            </w:pPr>
          </w:p>
        </w:tc>
        <w:tc>
          <w:tcPr>
            <w:tcW w:w="673" w:type="dxa"/>
            <w:tcBorders>
              <w:top w:val="single" w:sz="4" w:space="0" w:color="auto"/>
            </w:tcBorders>
            <w:shd w:val="clear" w:color="auto" w:fill="FFFFFF"/>
          </w:tcPr>
          <w:p w14:paraId="1F0D115E" w14:textId="77777777" w:rsidR="004577D8" w:rsidRPr="00B45667" w:rsidRDefault="004577D8" w:rsidP="006B75BF">
            <w:pPr>
              <w:rPr>
                <w:rFonts w:cs="Times New Roman"/>
                <w:sz w:val="13"/>
                <w:szCs w:val="13"/>
              </w:rPr>
            </w:pPr>
          </w:p>
        </w:tc>
      </w:tr>
      <w:tr w:rsidR="004577D8" w:rsidRPr="00B45667" w14:paraId="1F0D116B" w14:textId="77777777" w:rsidTr="00B4476D">
        <w:trPr>
          <w:trHeight w:val="227"/>
        </w:trPr>
        <w:tc>
          <w:tcPr>
            <w:tcW w:w="1040" w:type="dxa"/>
            <w:shd w:val="clear" w:color="auto" w:fill="FFFFFF"/>
          </w:tcPr>
          <w:p w14:paraId="1F0D116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Артериальная гипертензия</w:t>
            </w:r>
          </w:p>
        </w:tc>
        <w:tc>
          <w:tcPr>
            <w:tcW w:w="910" w:type="dxa"/>
            <w:shd w:val="clear" w:color="auto" w:fill="FFFFFF"/>
          </w:tcPr>
          <w:p w14:paraId="1F0D1161" w14:textId="77777777" w:rsidR="004577D8" w:rsidRPr="00B45667" w:rsidRDefault="004577D8" w:rsidP="006B75BF">
            <w:pPr>
              <w:rPr>
                <w:rFonts w:cs="Times New Roman"/>
                <w:sz w:val="13"/>
                <w:szCs w:val="13"/>
              </w:rPr>
            </w:pPr>
          </w:p>
        </w:tc>
        <w:tc>
          <w:tcPr>
            <w:tcW w:w="543" w:type="dxa"/>
            <w:shd w:val="clear" w:color="auto" w:fill="FFFFFF"/>
          </w:tcPr>
          <w:p w14:paraId="1F0D1162" w14:textId="77777777" w:rsidR="004577D8" w:rsidRPr="00B45667" w:rsidRDefault="004577D8" w:rsidP="006B75BF">
            <w:pPr>
              <w:rPr>
                <w:rFonts w:cs="Times New Roman"/>
                <w:sz w:val="13"/>
                <w:szCs w:val="13"/>
              </w:rPr>
            </w:pPr>
          </w:p>
        </w:tc>
        <w:tc>
          <w:tcPr>
            <w:tcW w:w="616" w:type="dxa"/>
            <w:shd w:val="clear" w:color="auto" w:fill="FFFFFF"/>
          </w:tcPr>
          <w:p w14:paraId="1F0D1163" w14:textId="77777777" w:rsidR="004577D8" w:rsidRPr="00B45667" w:rsidRDefault="004577D8" w:rsidP="006B75BF">
            <w:pPr>
              <w:rPr>
                <w:rFonts w:cs="Times New Roman"/>
                <w:sz w:val="13"/>
                <w:szCs w:val="13"/>
              </w:rPr>
            </w:pPr>
          </w:p>
        </w:tc>
        <w:tc>
          <w:tcPr>
            <w:tcW w:w="1200" w:type="dxa"/>
            <w:shd w:val="clear" w:color="auto" w:fill="FFFFFF"/>
          </w:tcPr>
          <w:p w14:paraId="1F0D1164" w14:textId="77777777" w:rsidR="004577D8" w:rsidRPr="00B45667" w:rsidRDefault="004577D8" w:rsidP="006B75BF">
            <w:pPr>
              <w:rPr>
                <w:rFonts w:cs="Times New Roman"/>
                <w:sz w:val="13"/>
                <w:szCs w:val="13"/>
              </w:rPr>
            </w:pPr>
          </w:p>
        </w:tc>
        <w:tc>
          <w:tcPr>
            <w:tcW w:w="1194" w:type="dxa"/>
            <w:shd w:val="clear" w:color="auto" w:fill="FFFFFF"/>
          </w:tcPr>
          <w:p w14:paraId="1F0D1165" w14:textId="77777777" w:rsidR="004577D8" w:rsidRPr="00B45667" w:rsidRDefault="004577D8" w:rsidP="006B75BF">
            <w:pPr>
              <w:rPr>
                <w:rFonts w:cs="Times New Roman"/>
                <w:sz w:val="13"/>
                <w:szCs w:val="13"/>
              </w:rPr>
            </w:pPr>
          </w:p>
        </w:tc>
        <w:tc>
          <w:tcPr>
            <w:tcW w:w="1996" w:type="dxa"/>
            <w:shd w:val="clear" w:color="auto" w:fill="FFFFFF"/>
          </w:tcPr>
          <w:p w14:paraId="1F0D1166" w14:textId="77777777" w:rsidR="004577D8" w:rsidRPr="00B45667" w:rsidRDefault="004577D8" w:rsidP="006B75BF">
            <w:pPr>
              <w:rPr>
                <w:rFonts w:cs="Times New Roman"/>
                <w:sz w:val="13"/>
                <w:szCs w:val="13"/>
              </w:rPr>
            </w:pPr>
          </w:p>
        </w:tc>
        <w:tc>
          <w:tcPr>
            <w:tcW w:w="2574" w:type="dxa"/>
            <w:shd w:val="clear" w:color="auto" w:fill="FFFFFF"/>
          </w:tcPr>
          <w:p w14:paraId="1F0D1167" w14:textId="77777777" w:rsidR="004577D8" w:rsidRPr="00B45667" w:rsidRDefault="004577D8" w:rsidP="00C8426D">
            <w:pPr>
              <w:ind w:right="38"/>
              <w:rPr>
                <w:rFonts w:cs="Times New Roman"/>
                <w:sz w:val="13"/>
                <w:szCs w:val="13"/>
              </w:rPr>
            </w:pPr>
          </w:p>
        </w:tc>
        <w:tc>
          <w:tcPr>
            <w:tcW w:w="2495" w:type="dxa"/>
            <w:shd w:val="clear" w:color="auto" w:fill="FFFFFF"/>
          </w:tcPr>
          <w:p w14:paraId="1F0D1168" w14:textId="77777777" w:rsidR="004577D8" w:rsidRPr="00B45667" w:rsidRDefault="004577D8" w:rsidP="006B75BF">
            <w:pPr>
              <w:rPr>
                <w:rFonts w:cs="Times New Roman"/>
                <w:sz w:val="13"/>
                <w:szCs w:val="13"/>
              </w:rPr>
            </w:pPr>
          </w:p>
        </w:tc>
        <w:tc>
          <w:tcPr>
            <w:tcW w:w="1891" w:type="dxa"/>
            <w:shd w:val="clear" w:color="auto" w:fill="FFFFFF"/>
          </w:tcPr>
          <w:p w14:paraId="1F0D1169" w14:textId="77777777" w:rsidR="004577D8" w:rsidRPr="00B45667" w:rsidRDefault="004577D8" w:rsidP="006B75BF">
            <w:pPr>
              <w:rPr>
                <w:rFonts w:cs="Times New Roman"/>
                <w:sz w:val="13"/>
                <w:szCs w:val="13"/>
              </w:rPr>
            </w:pPr>
          </w:p>
        </w:tc>
        <w:tc>
          <w:tcPr>
            <w:tcW w:w="673" w:type="dxa"/>
            <w:shd w:val="clear" w:color="auto" w:fill="FFFFFF"/>
          </w:tcPr>
          <w:p w14:paraId="1F0D116A" w14:textId="77777777" w:rsidR="004577D8" w:rsidRPr="00B45667" w:rsidRDefault="004577D8" w:rsidP="006B75BF">
            <w:pPr>
              <w:rPr>
                <w:rFonts w:cs="Times New Roman"/>
                <w:sz w:val="13"/>
                <w:szCs w:val="13"/>
              </w:rPr>
            </w:pPr>
          </w:p>
        </w:tc>
      </w:tr>
      <w:tr w:rsidR="004577D8" w:rsidRPr="00B45667" w14:paraId="1F0D117C" w14:textId="77777777" w:rsidTr="00B4476D">
        <w:trPr>
          <w:trHeight w:val="20"/>
        </w:trPr>
        <w:tc>
          <w:tcPr>
            <w:tcW w:w="1040" w:type="dxa"/>
            <w:shd w:val="clear" w:color="auto" w:fill="FFFFFF"/>
          </w:tcPr>
          <w:p w14:paraId="1F0D116C"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Peacock и соавт. ― Женщины (1999) [28], исследование ARIC,</w:t>
            </w:r>
          </w:p>
          <w:p w14:paraId="1F0D116D"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США</w:t>
            </w:r>
          </w:p>
        </w:tc>
        <w:tc>
          <w:tcPr>
            <w:tcW w:w="910" w:type="dxa"/>
            <w:shd w:val="clear" w:color="auto" w:fill="FFFFFF"/>
          </w:tcPr>
          <w:p w14:paraId="1F0D116E"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52,8 (45‒</w:t>
            </w:r>
          </w:p>
          <w:p w14:paraId="1F0D116F"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64)</w:t>
            </w:r>
          </w:p>
        </w:tc>
        <w:tc>
          <w:tcPr>
            <w:tcW w:w="543" w:type="dxa"/>
            <w:shd w:val="clear" w:color="auto" w:fill="FFFFFF"/>
          </w:tcPr>
          <w:p w14:paraId="1F0D117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0</w:t>
            </w:r>
          </w:p>
        </w:tc>
        <w:tc>
          <w:tcPr>
            <w:tcW w:w="616" w:type="dxa"/>
            <w:shd w:val="clear" w:color="auto" w:fill="FFFFFF"/>
          </w:tcPr>
          <w:p w14:paraId="1F0D1171"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6</w:t>
            </w:r>
          </w:p>
        </w:tc>
        <w:tc>
          <w:tcPr>
            <w:tcW w:w="1200" w:type="dxa"/>
            <w:shd w:val="clear" w:color="auto" w:fill="FFFFFF"/>
          </w:tcPr>
          <w:p w14:paraId="1F0D1172"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4190/822</w:t>
            </w:r>
          </w:p>
        </w:tc>
        <w:tc>
          <w:tcPr>
            <w:tcW w:w="1194" w:type="dxa"/>
            <w:shd w:val="clear" w:color="auto" w:fill="FFFFFF"/>
          </w:tcPr>
          <w:p w14:paraId="1F0D1173"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 xml:space="preserve">Исходная концентрация магния в сыворотке крови в квартилях (мэкв/л): 0,7‒ </w:t>
            </w:r>
            <w:r w:rsidRPr="00B45667">
              <w:rPr>
                <w:rFonts w:eastAsia="Lucida Sans Unicode" w:cs="Times New Roman"/>
                <w:lang w:bidi="ru-RU"/>
              </w:rPr>
              <w:br/>
              <w:t>1,5; 1,6; 1,7;</w:t>
            </w:r>
          </w:p>
          <w:p w14:paraId="1F0D1174"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1,8‒2,3.</w:t>
            </w:r>
          </w:p>
        </w:tc>
        <w:tc>
          <w:tcPr>
            <w:tcW w:w="1996" w:type="dxa"/>
            <w:shd w:val="clear" w:color="auto" w:fill="FFFFFF"/>
          </w:tcPr>
          <w:p w14:paraId="1F0D1175"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574" w:type="dxa"/>
            <w:shd w:val="clear" w:color="auto" w:fill="FFFFFF"/>
          </w:tcPr>
          <w:p w14:paraId="1F0D1176" w14:textId="77777777" w:rsidR="004577D8" w:rsidRPr="00B45667" w:rsidRDefault="00722C17" w:rsidP="00C8426D">
            <w:pPr>
              <w:pStyle w:val="a4"/>
              <w:shd w:val="clear" w:color="auto" w:fill="auto"/>
              <w:spacing w:line="240" w:lineRule="auto"/>
              <w:ind w:right="38"/>
              <w:rPr>
                <w:rFonts w:cs="Times New Roman"/>
              </w:rPr>
            </w:pPr>
            <w:r w:rsidRPr="00B45667">
              <w:rPr>
                <w:rFonts w:eastAsia="Lucida Sans Unicode" w:cs="Times New Roman"/>
                <w:lang w:bidi="ru-RU"/>
              </w:rPr>
              <w:t>Новыми случаями АГ считались впервые выявленные подъемы САД ≥ 140 мм рт.ст. или ДАД ≥ 90 мм рт.ст., либо получение информации о проводимой антигипертензивной терапии на визитах последующего наблюдения.</w:t>
            </w:r>
          </w:p>
        </w:tc>
        <w:tc>
          <w:tcPr>
            <w:tcW w:w="2495" w:type="dxa"/>
            <w:shd w:val="clear" w:color="auto" w:fill="FFFFFF"/>
          </w:tcPr>
          <w:p w14:paraId="1F0D1177"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Возраст, расовая принадлежность, исследовательский центр, соотношение окружностей талии и бедер, сахарный диабет, уровень образования, семейный анамнез артериальной гипертензии, оценка рекреационной физической активности, заместительная гормональная терапия и исходный уровень САД.</w:t>
            </w:r>
          </w:p>
        </w:tc>
        <w:tc>
          <w:tcPr>
            <w:tcW w:w="1891" w:type="dxa"/>
            <w:shd w:val="clear" w:color="auto" w:fill="FFFFFF"/>
          </w:tcPr>
          <w:p w14:paraId="1F0D1178"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ОШ (95 % ДИ): 1,00</w:t>
            </w:r>
          </w:p>
          <w:p w14:paraId="1F0D1179" w14:textId="77777777" w:rsidR="004577D8" w:rsidRPr="00B45667" w:rsidRDefault="00C8426D" w:rsidP="006B75BF">
            <w:pPr>
              <w:pStyle w:val="a4"/>
              <w:shd w:val="clear" w:color="auto" w:fill="auto"/>
              <w:spacing w:line="240" w:lineRule="auto"/>
              <w:rPr>
                <w:rFonts w:cs="Times New Roman"/>
              </w:rPr>
            </w:pPr>
            <w:r w:rsidRPr="00B45667">
              <w:rPr>
                <w:rFonts w:eastAsia="Lucida Sans Unicode" w:cs="Times New Roman"/>
                <w:lang w:bidi="ru-RU"/>
              </w:rPr>
              <w:t>(группа сравнения); 0,82 (от 0,64 до</w:t>
            </w:r>
          </w:p>
          <w:p w14:paraId="1F0D117A" w14:textId="77777777" w:rsidR="004577D8" w:rsidRPr="00B45667" w:rsidRDefault="00722C17" w:rsidP="00C8426D">
            <w:pPr>
              <w:pStyle w:val="a4"/>
              <w:shd w:val="clear" w:color="auto" w:fill="auto"/>
              <w:spacing w:line="240" w:lineRule="auto"/>
              <w:rPr>
                <w:rFonts w:cs="Times New Roman"/>
              </w:rPr>
            </w:pPr>
            <w:r w:rsidRPr="00B45667">
              <w:rPr>
                <w:rFonts w:eastAsia="Lucida Sans Unicode" w:cs="Times New Roman"/>
                <w:lang w:bidi="ru-RU"/>
              </w:rPr>
              <w:t xml:space="preserve">1,05); 0,93 (от 0,73 до 1,19); 0,76 (от 0,58 до 0,99). </w:t>
            </w:r>
            <w:r w:rsidRPr="00B45667">
              <w:rPr>
                <w:rFonts w:eastAsia="Lucida Sans Unicode" w:cs="Times New Roman"/>
                <w:i/>
                <w:lang w:bidi="ru-RU"/>
              </w:rPr>
              <w:t>P-</w:t>
            </w:r>
            <w:r w:rsidRPr="00B45667">
              <w:rPr>
                <w:rFonts w:eastAsia="Lucida Sans Unicode" w:cs="Times New Roman"/>
                <w:lang w:bidi="ru-RU"/>
              </w:rPr>
              <w:t>значение для тенденции</w:t>
            </w:r>
            <w:r w:rsidRPr="00B45667">
              <w:rPr>
                <w:rFonts w:eastAsia="Lucida Sans Unicode" w:cs="Times New Roman"/>
                <w:i/>
                <w:lang w:bidi="ru-RU"/>
              </w:rPr>
              <w:t> </w:t>
            </w:r>
            <w:r w:rsidRPr="00B45667">
              <w:rPr>
                <w:rFonts w:eastAsia="Lucida Sans Unicode" w:cs="Times New Roman"/>
                <w:lang w:bidi="ru-RU"/>
              </w:rPr>
              <w:t>= 0,11.</w:t>
            </w:r>
          </w:p>
        </w:tc>
        <w:tc>
          <w:tcPr>
            <w:tcW w:w="673" w:type="dxa"/>
            <w:shd w:val="clear" w:color="auto" w:fill="FFFFFF"/>
          </w:tcPr>
          <w:p w14:paraId="1F0D117B"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9</w:t>
            </w:r>
          </w:p>
        </w:tc>
      </w:tr>
      <w:tr w:rsidR="004577D8" w:rsidRPr="00B45667" w14:paraId="1F0D118C" w14:textId="77777777" w:rsidTr="00B4476D">
        <w:trPr>
          <w:trHeight w:val="20"/>
        </w:trPr>
        <w:tc>
          <w:tcPr>
            <w:tcW w:w="1040" w:type="dxa"/>
            <w:shd w:val="clear" w:color="auto" w:fill="FFFFFF"/>
          </w:tcPr>
          <w:p w14:paraId="1F0D117D"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Peacock и соавт. ― Мужчины (1999) [28], исследование ARIC, США</w:t>
            </w:r>
          </w:p>
        </w:tc>
        <w:tc>
          <w:tcPr>
            <w:tcW w:w="910" w:type="dxa"/>
            <w:shd w:val="clear" w:color="auto" w:fill="FFFFFF"/>
          </w:tcPr>
          <w:p w14:paraId="1F0D117E"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53,5 (45‒</w:t>
            </w:r>
          </w:p>
          <w:p w14:paraId="1F0D117F"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64)</w:t>
            </w:r>
          </w:p>
        </w:tc>
        <w:tc>
          <w:tcPr>
            <w:tcW w:w="543" w:type="dxa"/>
            <w:shd w:val="clear" w:color="auto" w:fill="FFFFFF"/>
          </w:tcPr>
          <w:p w14:paraId="1F0D118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100</w:t>
            </w:r>
          </w:p>
        </w:tc>
        <w:tc>
          <w:tcPr>
            <w:tcW w:w="616" w:type="dxa"/>
            <w:shd w:val="clear" w:color="auto" w:fill="FFFFFF"/>
          </w:tcPr>
          <w:p w14:paraId="1F0D1181"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6</w:t>
            </w:r>
          </w:p>
        </w:tc>
        <w:tc>
          <w:tcPr>
            <w:tcW w:w="1200" w:type="dxa"/>
            <w:shd w:val="clear" w:color="auto" w:fill="FFFFFF"/>
          </w:tcPr>
          <w:p w14:paraId="1F0D1182"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3541/755</w:t>
            </w:r>
          </w:p>
        </w:tc>
        <w:tc>
          <w:tcPr>
            <w:tcW w:w="1194" w:type="dxa"/>
            <w:shd w:val="clear" w:color="auto" w:fill="FFFFFF"/>
          </w:tcPr>
          <w:p w14:paraId="1F0D1183"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Исходная концентрация магния в сыворотке крови в квартилях (мэкв/л): 0,7‒1,5; 1,6; 1,7; 1,8‒2,3.</w:t>
            </w:r>
          </w:p>
        </w:tc>
        <w:tc>
          <w:tcPr>
            <w:tcW w:w="1996" w:type="dxa"/>
            <w:shd w:val="clear" w:color="auto" w:fill="FFFFFF"/>
          </w:tcPr>
          <w:p w14:paraId="1F0D1184"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574" w:type="dxa"/>
            <w:shd w:val="clear" w:color="auto" w:fill="FFFFFF"/>
          </w:tcPr>
          <w:p w14:paraId="1F0D1185" w14:textId="77777777" w:rsidR="004577D8" w:rsidRPr="00B45667" w:rsidRDefault="00722C17" w:rsidP="00C8426D">
            <w:pPr>
              <w:pStyle w:val="a4"/>
              <w:shd w:val="clear" w:color="auto" w:fill="auto"/>
              <w:spacing w:line="240" w:lineRule="auto"/>
              <w:ind w:right="38"/>
              <w:rPr>
                <w:rFonts w:eastAsia="Lucida Sans Unicode" w:cs="Times New Roman"/>
              </w:rPr>
            </w:pPr>
            <w:r w:rsidRPr="00B45667">
              <w:rPr>
                <w:rFonts w:eastAsia="Lucida Sans Unicode" w:cs="Times New Roman"/>
                <w:lang w:bidi="ru-RU"/>
              </w:rPr>
              <w:t>Новыми случаями АГ считались впервые выявленные подъемы САД ≥ 140 мм рт.ст. или ДАД ≥ 90 мм рт.ст., либо получение информации о проводимой антигипертензивной терапии на визитах последующего наблюдения.</w:t>
            </w:r>
          </w:p>
          <w:p w14:paraId="1F0D1186" w14:textId="77777777" w:rsidR="006B75BF" w:rsidRPr="00B45667" w:rsidRDefault="006B75BF" w:rsidP="00C8426D">
            <w:pPr>
              <w:pStyle w:val="a4"/>
              <w:shd w:val="clear" w:color="auto" w:fill="auto"/>
              <w:spacing w:line="240" w:lineRule="auto"/>
              <w:ind w:right="38"/>
              <w:rPr>
                <w:rFonts w:cs="Times New Roman"/>
              </w:rPr>
            </w:pPr>
          </w:p>
        </w:tc>
        <w:tc>
          <w:tcPr>
            <w:tcW w:w="2495" w:type="dxa"/>
            <w:shd w:val="clear" w:color="auto" w:fill="FFFFFF"/>
          </w:tcPr>
          <w:p w14:paraId="1F0D1187"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Возраст, расовая принадлежность, исследовательский центр, отношение окружностей талии/бедер, сахарный диабет, уровень образования, семейный анамнез артериальной гипертензии, оценка рекреационной физической активности и исходный уровень САД.</w:t>
            </w:r>
          </w:p>
        </w:tc>
        <w:tc>
          <w:tcPr>
            <w:tcW w:w="1891" w:type="dxa"/>
            <w:shd w:val="clear" w:color="auto" w:fill="FFFFFF"/>
          </w:tcPr>
          <w:p w14:paraId="1F0D1188"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ОШ (95 % ДИ): 1,00</w:t>
            </w:r>
          </w:p>
          <w:p w14:paraId="1F0D1189" w14:textId="77777777" w:rsidR="004577D8" w:rsidRPr="00B45667" w:rsidRDefault="00C8426D" w:rsidP="006B75BF">
            <w:pPr>
              <w:pStyle w:val="a4"/>
              <w:shd w:val="clear" w:color="auto" w:fill="auto"/>
              <w:spacing w:line="240" w:lineRule="auto"/>
              <w:rPr>
                <w:rFonts w:cs="Times New Roman"/>
              </w:rPr>
            </w:pPr>
            <w:r w:rsidRPr="00B45667">
              <w:rPr>
                <w:rFonts w:eastAsia="Lucida Sans Unicode" w:cs="Times New Roman"/>
                <w:lang w:bidi="ru-RU"/>
              </w:rPr>
              <w:t>(группа сравнения); 0,91 (от 0,70 до</w:t>
            </w:r>
          </w:p>
          <w:p w14:paraId="1F0D118A"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 xml:space="preserve">1,19); 0,92 (от 0,71 до 1,19); 0,90 (от 0,68 до 1,18) </w:t>
            </w:r>
            <w:r w:rsidRPr="00B45667">
              <w:rPr>
                <w:rFonts w:eastAsia="Lucida Sans Unicode" w:cs="Times New Roman"/>
                <w:i/>
                <w:lang w:bidi="ru-RU"/>
              </w:rPr>
              <w:t>P-</w:t>
            </w:r>
            <w:r w:rsidRPr="00B45667">
              <w:rPr>
                <w:rFonts w:eastAsia="Lucida Sans Unicode" w:cs="Times New Roman"/>
                <w:lang w:bidi="ru-RU"/>
              </w:rPr>
              <w:t>показатель для тенденции</w:t>
            </w:r>
            <w:r w:rsidRPr="00B45667">
              <w:rPr>
                <w:rFonts w:eastAsia="Lucida Sans Unicode" w:cs="Times New Roman"/>
                <w:i/>
                <w:lang w:bidi="ru-RU"/>
              </w:rPr>
              <w:t> </w:t>
            </w:r>
            <w:r w:rsidRPr="00B45667">
              <w:rPr>
                <w:rFonts w:eastAsia="Lucida Sans Unicode" w:cs="Times New Roman"/>
                <w:lang w:bidi="ru-RU"/>
              </w:rPr>
              <w:t>= 0,50.</w:t>
            </w:r>
          </w:p>
        </w:tc>
        <w:tc>
          <w:tcPr>
            <w:tcW w:w="673" w:type="dxa"/>
            <w:shd w:val="clear" w:color="auto" w:fill="FFFFFF"/>
          </w:tcPr>
          <w:p w14:paraId="1F0D118B"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9</w:t>
            </w:r>
          </w:p>
        </w:tc>
      </w:tr>
      <w:tr w:rsidR="004577D8" w:rsidRPr="00B45667" w14:paraId="1F0D1199" w14:textId="77777777" w:rsidTr="00B4476D">
        <w:trPr>
          <w:trHeight w:val="604"/>
        </w:trPr>
        <w:tc>
          <w:tcPr>
            <w:tcW w:w="1040" w:type="dxa"/>
            <w:shd w:val="clear" w:color="auto" w:fill="FFFFFF"/>
          </w:tcPr>
          <w:p w14:paraId="1F0D118D"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Khan и соавт. (2010) [26], Фрамингемское исследование потомков, США</w:t>
            </w:r>
          </w:p>
        </w:tc>
        <w:tc>
          <w:tcPr>
            <w:tcW w:w="910" w:type="dxa"/>
            <w:shd w:val="clear" w:color="auto" w:fill="FFFFFF"/>
          </w:tcPr>
          <w:p w14:paraId="1F0D118E"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42,5 ± 9,5</w:t>
            </w:r>
          </w:p>
        </w:tc>
        <w:tc>
          <w:tcPr>
            <w:tcW w:w="543" w:type="dxa"/>
            <w:shd w:val="clear" w:color="auto" w:fill="FFFFFF"/>
          </w:tcPr>
          <w:p w14:paraId="1F0D118F"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45,0</w:t>
            </w:r>
          </w:p>
        </w:tc>
        <w:tc>
          <w:tcPr>
            <w:tcW w:w="616" w:type="dxa"/>
            <w:shd w:val="clear" w:color="auto" w:fill="FFFFFF"/>
          </w:tcPr>
          <w:p w14:paraId="1F0D119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8</w:t>
            </w:r>
          </w:p>
        </w:tc>
        <w:tc>
          <w:tcPr>
            <w:tcW w:w="1200" w:type="dxa"/>
            <w:shd w:val="clear" w:color="auto" w:fill="FFFFFF"/>
          </w:tcPr>
          <w:p w14:paraId="1F0D1191"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2520/551</w:t>
            </w:r>
          </w:p>
        </w:tc>
        <w:tc>
          <w:tcPr>
            <w:tcW w:w="1194" w:type="dxa"/>
            <w:shd w:val="clear" w:color="auto" w:fill="FFFFFF"/>
          </w:tcPr>
          <w:p w14:paraId="1F0D1192"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Исходная концентрация магния в сыворотке крови (мэкв/л): 1,40‒1,77; 1,77‒1,88; 1,88‒1.98; 1,98‒2,50.</w:t>
            </w:r>
          </w:p>
        </w:tc>
        <w:tc>
          <w:tcPr>
            <w:tcW w:w="1996" w:type="dxa"/>
            <w:shd w:val="clear" w:color="auto" w:fill="FFFFFF"/>
          </w:tcPr>
          <w:p w14:paraId="1F0D1193"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Концентрацию магния в сыворотке крови измеряли с помощью стандартного колориметрического анализа.</w:t>
            </w:r>
          </w:p>
        </w:tc>
        <w:tc>
          <w:tcPr>
            <w:tcW w:w="2574" w:type="dxa"/>
            <w:shd w:val="clear" w:color="auto" w:fill="FFFFFF"/>
          </w:tcPr>
          <w:p w14:paraId="1F0D1194" w14:textId="77777777" w:rsidR="004577D8" w:rsidRPr="00B45667" w:rsidRDefault="00722C17" w:rsidP="00C8426D">
            <w:pPr>
              <w:pStyle w:val="a4"/>
              <w:shd w:val="clear" w:color="auto" w:fill="auto"/>
              <w:spacing w:line="240" w:lineRule="auto"/>
              <w:ind w:right="38"/>
              <w:rPr>
                <w:rFonts w:cs="Times New Roman"/>
              </w:rPr>
            </w:pPr>
            <w:r w:rsidRPr="00B45667">
              <w:rPr>
                <w:rFonts w:eastAsia="Lucida Sans Unicode" w:cs="Times New Roman"/>
                <w:lang w:bidi="ru-RU"/>
              </w:rPr>
              <w:t>Новыми случаями АГ считались впервые выявленные подъемы САД ≥ 140 мм рт.ст. или ДАД ≥ 90 мм рт.ст., либо получение информации о проводимой антигипертензивной терапии, включая диуретики.</w:t>
            </w:r>
          </w:p>
        </w:tc>
        <w:tc>
          <w:tcPr>
            <w:tcW w:w="2495" w:type="dxa"/>
            <w:shd w:val="clear" w:color="auto" w:fill="FFFFFF"/>
          </w:tcPr>
          <w:p w14:paraId="1F0D1195"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Возраст, пол, ИМТ, сахарный диабет, систолическое артериальное давление, соотношение общего холестерина и холестерина ЛПВП, курение, уровни гемоглобина, альбумина и рСКФ.</w:t>
            </w:r>
          </w:p>
        </w:tc>
        <w:tc>
          <w:tcPr>
            <w:tcW w:w="1891" w:type="dxa"/>
            <w:shd w:val="clear" w:color="auto" w:fill="FFFFFF"/>
          </w:tcPr>
          <w:p w14:paraId="1F0D1196"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ОР (95 % ДИ): 1,00 (группа сравнения); 0,97 (от 0,72 до</w:t>
            </w:r>
          </w:p>
          <w:p w14:paraId="1F0D1197"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 xml:space="preserve">1,31); 0,96 (от 0,70 до 1,32); 1,03 (от 0,75 до 1,41) </w:t>
            </w:r>
            <w:r w:rsidRPr="00B45667">
              <w:rPr>
                <w:rFonts w:eastAsia="Lucida Sans Unicode" w:cs="Times New Roman"/>
                <w:i/>
                <w:lang w:bidi="ru-RU"/>
              </w:rPr>
              <w:t>P-</w:t>
            </w:r>
            <w:r w:rsidRPr="00B45667">
              <w:rPr>
                <w:rFonts w:eastAsia="Lucida Sans Unicode" w:cs="Times New Roman"/>
                <w:lang w:bidi="ru-RU"/>
              </w:rPr>
              <w:t>значение для тенденции</w:t>
            </w:r>
            <w:r w:rsidRPr="00B45667">
              <w:rPr>
                <w:rFonts w:eastAsia="Lucida Sans Unicode" w:cs="Times New Roman"/>
                <w:i/>
                <w:lang w:bidi="ru-RU"/>
              </w:rPr>
              <w:t> </w:t>
            </w:r>
            <w:r w:rsidRPr="00B45667">
              <w:rPr>
                <w:rFonts w:eastAsia="Lucida Sans Unicode" w:cs="Times New Roman"/>
                <w:lang w:bidi="ru-RU"/>
              </w:rPr>
              <w:t>= 0,89. Непрерывное (↑0,15 мг/дл): 1,03 (от 0,92 до 1,15).</w:t>
            </w:r>
          </w:p>
        </w:tc>
        <w:tc>
          <w:tcPr>
            <w:tcW w:w="673" w:type="dxa"/>
            <w:shd w:val="clear" w:color="auto" w:fill="FFFFFF"/>
          </w:tcPr>
          <w:p w14:paraId="1F0D1198"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9</w:t>
            </w:r>
          </w:p>
        </w:tc>
      </w:tr>
      <w:tr w:rsidR="004577D8" w:rsidRPr="00B45667" w14:paraId="1F0D11A8" w14:textId="77777777" w:rsidTr="00B4476D">
        <w:trPr>
          <w:trHeight w:val="20"/>
        </w:trPr>
        <w:tc>
          <w:tcPr>
            <w:tcW w:w="1040" w:type="dxa"/>
            <w:shd w:val="clear" w:color="auto" w:fill="FFFFFF"/>
          </w:tcPr>
          <w:p w14:paraId="1F0D119A"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Joosten и соавт. (2013 b) [29], исследование PREVEND, Нидерланды</w:t>
            </w:r>
          </w:p>
        </w:tc>
        <w:tc>
          <w:tcPr>
            <w:tcW w:w="910" w:type="dxa"/>
            <w:shd w:val="clear" w:color="auto" w:fill="FFFFFF"/>
          </w:tcPr>
          <w:p w14:paraId="1F0D119B"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28‒75</w:t>
            </w:r>
          </w:p>
        </w:tc>
        <w:tc>
          <w:tcPr>
            <w:tcW w:w="543" w:type="dxa"/>
            <w:shd w:val="clear" w:color="auto" w:fill="FFFFFF"/>
          </w:tcPr>
          <w:p w14:paraId="1F0D119C"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45,3</w:t>
            </w:r>
          </w:p>
        </w:tc>
        <w:tc>
          <w:tcPr>
            <w:tcW w:w="616" w:type="dxa"/>
            <w:shd w:val="clear" w:color="auto" w:fill="FFFFFF"/>
          </w:tcPr>
          <w:p w14:paraId="1F0D119D"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7,6</w:t>
            </w:r>
          </w:p>
        </w:tc>
        <w:tc>
          <w:tcPr>
            <w:tcW w:w="1200" w:type="dxa"/>
            <w:shd w:val="clear" w:color="auto" w:fill="FFFFFF"/>
          </w:tcPr>
          <w:p w14:paraId="1F0D119E"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4625/1021</w:t>
            </w:r>
          </w:p>
        </w:tc>
        <w:tc>
          <w:tcPr>
            <w:tcW w:w="1194" w:type="dxa"/>
            <w:shd w:val="clear" w:color="auto" w:fill="FFFFFF"/>
          </w:tcPr>
          <w:p w14:paraId="1F0D119F"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Исходная концентрация магния в плазме крови (ммоль/л): 0,55‒0,77; 0,78‒0,80; 0,81‒0,84; 0,85‒1,04.</w:t>
            </w:r>
          </w:p>
        </w:tc>
        <w:tc>
          <w:tcPr>
            <w:tcW w:w="1996" w:type="dxa"/>
            <w:shd w:val="clear" w:color="auto" w:fill="FFFFFF"/>
          </w:tcPr>
          <w:p w14:paraId="1F0D11A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Концентрацию магния в плазме крови определяли с помощью ксилидилового синего.</w:t>
            </w:r>
          </w:p>
        </w:tc>
        <w:tc>
          <w:tcPr>
            <w:tcW w:w="2574" w:type="dxa"/>
            <w:shd w:val="clear" w:color="auto" w:fill="FFFFFF"/>
          </w:tcPr>
          <w:p w14:paraId="1F0D11A1" w14:textId="77777777" w:rsidR="004577D8" w:rsidRPr="00B45667" w:rsidRDefault="00722C17" w:rsidP="00C8426D">
            <w:pPr>
              <w:pStyle w:val="a4"/>
              <w:shd w:val="clear" w:color="auto" w:fill="auto"/>
              <w:spacing w:line="240" w:lineRule="auto"/>
              <w:ind w:right="38"/>
              <w:rPr>
                <w:rFonts w:cs="Times New Roman"/>
              </w:rPr>
            </w:pPr>
            <w:r w:rsidRPr="00B45667">
              <w:rPr>
                <w:rFonts w:eastAsia="Lucida Sans Unicode" w:cs="Times New Roman"/>
                <w:lang w:bidi="ru-RU"/>
              </w:rPr>
              <w:t>Новыми случаями артериальной гипертензии считались впервые выявленные подъемы САД ≥ 140 мм рт.ст., ДАД ≥ 90 мм рт.ст., либо начало антигипертензивной терапии.</w:t>
            </w:r>
          </w:p>
        </w:tc>
        <w:tc>
          <w:tcPr>
            <w:tcW w:w="2495" w:type="dxa"/>
            <w:shd w:val="clear" w:color="auto" w:fill="FFFFFF"/>
          </w:tcPr>
          <w:p w14:paraId="1F0D11A2"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Возраст, пол, ИМТ, курение, сахарный диабет, семейный анамнез артериальной гипертензии, употребление алкоголя, дизайн исследования и концентрации натрия, калия и кальция в плазме крови.</w:t>
            </w:r>
          </w:p>
        </w:tc>
        <w:tc>
          <w:tcPr>
            <w:tcW w:w="1891" w:type="dxa"/>
            <w:shd w:val="clear" w:color="auto" w:fill="FFFFFF"/>
          </w:tcPr>
          <w:p w14:paraId="1F0D11A3"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ОР (95 % ДИ): 1,00 (группа сравнения); 1,00 (от 0,84 до</w:t>
            </w:r>
          </w:p>
          <w:p w14:paraId="1F0D11A4"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1,20); 0,92 (от 0,77 до 1,09); 0,94 (от 0,79 до</w:t>
            </w:r>
          </w:p>
          <w:p w14:paraId="1F0D11A5"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1,12). Непрерывное (ммоль/</w:t>
            </w:r>
          </w:p>
          <w:p w14:paraId="1F0D11A6"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л): 0,94 (от 0,83 до 1,05).</w:t>
            </w:r>
          </w:p>
        </w:tc>
        <w:tc>
          <w:tcPr>
            <w:tcW w:w="673" w:type="dxa"/>
            <w:shd w:val="clear" w:color="auto" w:fill="FFFFFF"/>
          </w:tcPr>
          <w:p w14:paraId="1F0D11A7"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9</w:t>
            </w:r>
          </w:p>
        </w:tc>
      </w:tr>
      <w:tr w:rsidR="004577D8" w:rsidRPr="00B45667" w14:paraId="1F0D11B3" w14:textId="77777777" w:rsidTr="00B4476D">
        <w:trPr>
          <w:trHeight w:val="20"/>
        </w:trPr>
        <w:tc>
          <w:tcPr>
            <w:tcW w:w="1950" w:type="dxa"/>
            <w:gridSpan w:val="2"/>
            <w:shd w:val="clear" w:color="auto" w:fill="FFFFFF"/>
          </w:tcPr>
          <w:p w14:paraId="1F0D11A9"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Сахарный диабет</w:t>
            </w:r>
          </w:p>
        </w:tc>
        <w:tc>
          <w:tcPr>
            <w:tcW w:w="543" w:type="dxa"/>
            <w:shd w:val="clear" w:color="auto" w:fill="FFFFFF"/>
          </w:tcPr>
          <w:p w14:paraId="1F0D11AA" w14:textId="77777777" w:rsidR="004577D8" w:rsidRPr="00B45667" w:rsidRDefault="004577D8" w:rsidP="006B75BF">
            <w:pPr>
              <w:rPr>
                <w:rFonts w:cs="Times New Roman"/>
                <w:sz w:val="13"/>
                <w:szCs w:val="13"/>
              </w:rPr>
            </w:pPr>
          </w:p>
        </w:tc>
        <w:tc>
          <w:tcPr>
            <w:tcW w:w="616" w:type="dxa"/>
            <w:shd w:val="clear" w:color="auto" w:fill="FFFFFF"/>
          </w:tcPr>
          <w:p w14:paraId="1F0D11AB" w14:textId="77777777" w:rsidR="004577D8" w:rsidRPr="00B45667" w:rsidRDefault="004577D8" w:rsidP="006B75BF">
            <w:pPr>
              <w:rPr>
                <w:rFonts w:cs="Times New Roman"/>
                <w:sz w:val="13"/>
                <w:szCs w:val="13"/>
              </w:rPr>
            </w:pPr>
          </w:p>
        </w:tc>
        <w:tc>
          <w:tcPr>
            <w:tcW w:w="1200" w:type="dxa"/>
            <w:shd w:val="clear" w:color="auto" w:fill="FFFFFF"/>
          </w:tcPr>
          <w:p w14:paraId="1F0D11AC" w14:textId="77777777" w:rsidR="004577D8" w:rsidRPr="00B45667" w:rsidRDefault="004577D8" w:rsidP="006B75BF">
            <w:pPr>
              <w:rPr>
                <w:rFonts w:cs="Times New Roman"/>
                <w:sz w:val="13"/>
                <w:szCs w:val="13"/>
              </w:rPr>
            </w:pPr>
          </w:p>
        </w:tc>
        <w:tc>
          <w:tcPr>
            <w:tcW w:w="1194" w:type="dxa"/>
            <w:shd w:val="clear" w:color="auto" w:fill="FFFFFF"/>
          </w:tcPr>
          <w:p w14:paraId="1F0D11AD" w14:textId="77777777" w:rsidR="004577D8" w:rsidRPr="00B45667" w:rsidRDefault="004577D8" w:rsidP="006B75BF">
            <w:pPr>
              <w:rPr>
                <w:rFonts w:cs="Times New Roman"/>
                <w:sz w:val="13"/>
                <w:szCs w:val="13"/>
              </w:rPr>
            </w:pPr>
          </w:p>
        </w:tc>
        <w:tc>
          <w:tcPr>
            <w:tcW w:w="1996" w:type="dxa"/>
            <w:shd w:val="clear" w:color="auto" w:fill="FFFFFF"/>
          </w:tcPr>
          <w:p w14:paraId="1F0D11AE" w14:textId="77777777" w:rsidR="004577D8" w:rsidRPr="00B45667" w:rsidRDefault="004577D8" w:rsidP="006B75BF">
            <w:pPr>
              <w:rPr>
                <w:rFonts w:cs="Times New Roman"/>
                <w:sz w:val="13"/>
                <w:szCs w:val="13"/>
              </w:rPr>
            </w:pPr>
          </w:p>
        </w:tc>
        <w:tc>
          <w:tcPr>
            <w:tcW w:w="2574" w:type="dxa"/>
            <w:shd w:val="clear" w:color="auto" w:fill="FFFFFF"/>
          </w:tcPr>
          <w:p w14:paraId="1F0D11AF" w14:textId="77777777" w:rsidR="004577D8" w:rsidRPr="00B45667" w:rsidRDefault="004577D8" w:rsidP="00C8426D">
            <w:pPr>
              <w:ind w:right="38"/>
              <w:rPr>
                <w:rFonts w:cs="Times New Roman"/>
                <w:sz w:val="13"/>
                <w:szCs w:val="13"/>
              </w:rPr>
            </w:pPr>
          </w:p>
        </w:tc>
        <w:tc>
          <w:tcPr>
            <w:tcW w:w="2495" w:type="dxa"/>
            <w:shd w:val="clear" w:color="auto" w:fill="FFFFFF"/>
          </w:tcPr>
          <w:p w14:paraId="1F0D11B0" w14:textId="77777777" w:rsidR="004577D8" w:rsidRPr="00B45667" w:rsidRDefault="004577D8" w:rsidP="006B75BF">
            <w:pPr>
              <w:rPr>
                <w:rFonts w:cs="Times New Roman"/>
                <w:sz w:val="13"/>
                <w:szCs w:val="13"/>
              </w:rPr>
            </w:pPr>
          </w:p>
        </w:tc>
        <w:tc>
          <w:tcPr>
            <w:tcW w:w="1891" w:type="dxa"/>
            <w:shd w:val="clear" w:color="auto" w:fill="FFFFFF"/>
          </w:tcPr>
          <w:p w14:paraId="1F0D11B1" w14:textId="77777777" w:rsidR="004577D8" w:rsidRPr="00B45667" w:rsidRDefault="004577D8" w:rsidP="006B75BF">
            <w:pPr>
              <w:rPr>
                <w:rFonts w:cs="Times New Roman"/>
                <w:sz w:val="13"/>
                <w:szCs w:val="13"/>
              </w:rPr>
            </w:pPr>
          </w:p>
        </w:tc>
        <w:tc>
          <w:tcPr>
            <w:tcW w:w="673" w:type="dxa"/>
            <w:shd w:val="clear" w:color="auto" w:fill="FFFFFF"/>
          </w:tcPr>
          <w:p w14:paraId="1F0D11B2" w14:textId="77777777" w:rsidR="004577D8" w:rsidRPr="00B45667" w:rsidRDefault="004577D8" w:rsidP="006B75BF">
            <w:pPr>
              <w:rPr>
                <w:rFonts w:cs="Times New Roman"/>
                <w:sz w:val="13"/>
                <w:szCs w:val="13"/>
              </w:rPr>
            </w:pPr>
          </w:p>
        </w:tc>
      </w:tr>
      <w:tr w:rsidR="004577D8" w:rsidRPr="00B45667" w14:paraId="1F0D11C4" w14:textId="77777777" w:rsidTr="00B4476D">
        <w:trPr>
          <w:trHeight w:val="20"/>
        </w:trPr>
        <w:tc>
          <w:tcPr>
            <w:tcW w:w="1040" w:type="dxa"/>
            <w:shd w:val="clear" w:color="auto" w:fill="FFFFFF"/>
          </w:tcPr>
          <w:p w14:paraId="1F0D11B4"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Kao и соавт. ― негроидная раса (1999) [11], исследование ARIC, США</w:t>
            </w:r>
          </w:p>
        </w:tc>
        <w:tc>
          <w:tcPr>
            <w:tcW w:w="910" w:type="dxa"/>
            <w:shd w:val="clear" w:color="auto" w:fill="FFFFFF"/>
          </w:tcPr>
          <w:p w14:paraId="1F0D11B5"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53,0</w:t>
            </w:r>
          </w:p>
        </w:tc>
        <w:tc>
          <w:tcPr>
            <w:tcW w:w="543" w:type="dxa"/>
            <w:shd w:val="clear" w:color="auto" w:fill="FFFFFF"/>
          </w:tcPr>
          <w:p w14:paraId="1F0D11B6"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36,3</w:t>
            </w:r>
          </w:p>
        </w:tc>
        <w:tc>
          <w:tcPr>
            <w:tcW w:w="616" w:type="dxa"/>
            <w:shd w:val="clear" w:color="auto" w:fill="FFFFFF"/>
          </w:tcPr>
          <w:p w14:paraId="1F0D11B7"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5,3</w:t>
            </w:r>
          </w:p>
        </w:tc>
        <w:tc>
          <w:tcPr>
            <w:tcW w:w="1200" w:type="dxa"/>
            <w:shd w:val="clear" w:color="auto" w:fill="FFFFFF"/>
          </w:tcPr>
          <w:p w14:paraId="1F0D11B8"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2622/367</w:t>
            </w:r>
          </w:p>
        </w:tc>
        <w:tc>
          <w:tcPr>
            <w:tcW w:w="1194" w:type="dxa"/>
            <w:shd w:val="clear" w:color="auto" w:fill="FFFFFF"/>
          </w:tcPr>
          <w:p w14:paraId="1F0D11B9"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Исходная концентрация магния в сыворотке крови (мэкв/л): 0,50‒1,40;</w:t>
            </w:r>
          </w:p>
          <w:p w14:paraId="1F0D11BA"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1,50; 1,60;</w:t>
            </w:r>
          </w:p>
          <w:p w14:paraId="1F0D11BB"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1,70; 1,80;</w:t>
            </w:r>
          </w:p>
          <w:p w14:paraId="1F0D11BC"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1,90‒2,60.</w:t>
            </w:r>
          </w:p>
        </w:tc>
        <w:tc>
          <w:tcPr>
            <w:tcW w:w="1996" w:type="dxa"/>
            <w:shd w:val="clear" w:color="auto" w:fill="FFFFFF"/>
          </w:tcPr>
          <w:p w14:paraId="1F0D11BD"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574" w:type="dxa"/>
            <w:shd w:val="clear" w:color="auto" w:fill="FFFFFF"/>
          </w:tcPr>
          <w:p w14:paraId="1F0D11BE" w14:textId="77777777" w:rsidR="004577D8" w:rsidRPr="00B45667" w:rsidRDefault="00722C17" w:rsidP="00C8426D">
            <w:pPr>
              <w:pStyle w:val="a4"/>
              <w:shd w:val="clear" w:color="auto" w:fill="auto"/>
              <w:spacing w:line="240" w:lineRule="auto"/>
              <w:ind w:right="38"/>
              <w:rPr>
                <w:rFonts w:cs="Times New Roman"/>
              </w:rPr>
            </w:pPr>
            <w:r w:rsidRPr="00B45667">
              <w:rPr>
                <w:rFonts w:eastAsia="Lucida Sans Unicode" w:cs="Times New Roman"/>
                <w:lang w:bidi="ru-RU"/>
              </w:rPr>
              <w:t>Сахарный диабет определялся по наличию любого из следующих критериев: 1) концентрация глюкозы натощак ≥ 7,0 ммоль/л; 2) концентрация глюкозы не натощак ≥ 11,1 ммоль/л; 3) прием сахароснижающих препаратов в настоящее время; 4) положительный ответ пациента на вопрос: «Говорил ли вам когда-нибудь врач, что у вас сахарный диабет?» У лиц исходно не имеющих диагноза СД, и соответствующих любому из перечисленных критериев при последующем наблюдении, констатировались новые случаи СД.</w:t>
            </w:r>
          </w:p>
        </w:tc>
        <w:tc>
          <w:tcPr>
            <w:tcW w:w="2495" w:type="dxa"/>
            <w:shd w:val="clear" w:color="auto" w:fill="FFFFFF"/>
          </w:tcPr>
          <w:p w14:paraId="1F0D11BF"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Возраст, пол, уровень образования, ИМТ, семейный анамнез сахарного диабета, соотношение окружностей талии и бедер, оценка физической активности, употребление алкоголя, прием диуретиков, концентрации кальция и калия в сыворотке крови, концентрации инсулина и глюкозы натощак исходно.</w:t>
            </w:r>
          </w:p>
        </w:tc>
        <w:tc>
          <w:tcPr>
            <w:tcW w:w="1891" w:type="dxa"/>
            <w:shd w:val="clear" w:color="auto" w:fill="FFFFFF"/>
          </w:tcPr>
          <w:p w14:paraId="1F0D11C0"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OR (95% 01):0.90 (0.48,</w:t>
            </w:r>
          </w:p>
          <w:p w14:paraId="1F0D11C1" w14:textId="77777777" w:rsidR="004577D8" w:rsidRPr="00B45667" w:rsidRDefault="00C8426D" w:rsidP="006B75BF">
            <w:pPr>
              <w:pStyle w:val="a4"/>
              <w:shd w:val="clear" w:color="auto" w:fill="auto"/>
              <w:spacing w:line="240" w:lineRule="auto"/>
              <w:rPr>
                <w:rFonts w:cs="Times New Roman"/>
              </w:rPr>
            </w:pPr>
            <w:r w:rsidRPr="00B45667">
              <w:rPr>
                <w:rFonts w:eastAsia="Lucida Sans Unicode" w:cs="Times New Roman"/>
                <w:lang w:bidi="ru-RU"/>
              </w:rPr>
              <w:t>1,68); 0,82 (от 0,45 до 1,51); 1,01 (от 0,56 до 1,83); 0,94 (от 0,51 до</w:t>
            </w:r>
          </w:p>
          <w:p w14:paraId="1F0D11C2" w14:textId="77777777" w:rsidR="004577D8" w:rsidRPr="00B45667" w:rsidRDefault="00722C17" w:rsidP="00C8426D">
            <w:pPr>
              <w:pStyle w:val="a4"/>
              <w:shd w:val="clear" w:color="auto" w:fill="auto"/>
              <w:spacing w:line="240" w:lineRule="auto"/>
              <w:rPr>
                <w:rFonts w:cs="Times New Roman"/>
              </w:rPr>
            </w:pPr>
            <w:r w:rsidRPr="00B45667">
              <w:rPr>
                <w:rFonts w:eastAsia="Lucida Sans Unicode" w:cs="Times New Roman"/>
                <w:lang w:bidi="ru-RU"/>
              </w:rPr>
              <w:t xml:space="preserve">1,73); 0,94 (от 0,48 до 1,81); 1,00 (группа сравнения). Тенденция </w:t>
            </w:r>
            <w:r w:rsidRPr="00B45667">
              <w:rPr>
                <w:rFonts w:eastAsia="Lucida Sans Unicode" w:cs="Times New Roman"/>
                <w:i/>
                <w:lang w:bidi="ru-RU"/>
              </w:rPr>
              <w:t>P </w:t>
            </w:r>
            <w:r w:rsidRPr="00B45667">
              <w:rPr>
                <w:rFonts w:eastAsia="Lucida Sans Unicode" w:cs="Times New Roman"/>
                <w:lang w:bidi="ru-RU"/>
              </w:rPr>
              <w:t>= 0,71.</w:t>
            </w:r>
          </w:p>
        </w:tc>
        <w:tc>
          <w:tcPr>
            <w:tcW w:w="673" w:type="dxa"/>
            <w:shd w:val="clear" w:color="auto" w:fill="FFFFFF"/>
          </w:tcPr>
          <w:p w14:paraId="1F0D11C3" w14:textId="77777777" w:rsidR="004577D8" w:rsidRPr="00B45667" w:rsidRDefault="00722C17" w:rsidP="006B75BF">
            <w:pPr>
              <w:pStyle w:val="a4"/>
              <w:shd w:val="clear" w:color="auto" w:fill="auto"/>
              <w:spacing w:line="240" w:lineRule="auto"/>
              <w:rPr>
                <w:rFonts w:cs="Times New Roman"/>
              </w:rPr>
            </w:pPr>
            <w:r w:rsidRPr="00B45667">
              <w:rPr>
                <w:rFonts w:eastAsia="Lucida Sans Unicode" w:cs="Times New Roman"/>
                <w:lang w:bidi="ru-RU"/>
              </w:rPr>
              <w:t>9</w:t>
            </w:r>
          </w:p>
        </w:tc>
      </w:tr>
    </w:tbl>
    <w:p w14:paraId="1F0D11C5" w14:textId="77777777" w:rsidR="004577D8" w:rsidRPr="00B45667" w:rsidRDefault="004577D8">
      <w:pPr>
        <w:spacing w:line="1" w:lineRule="exact"/>
        <w:rPr>
          <w:rFonts w:cs="Times New Roman"/>
        </w:rPr>
      </w:pPr>
    </w:p>
    <w:p w14:paraId="1F0D11C6" w14:textId="77777777" w:rsidR="00C8426D" w:rsidRPr="00B45667" w:rsidRDefault="00C8426D">
      <w:pPr>
        <w:rPr>
          <w:rFonts w:cs="Times New Roman"/>
        </w:rPr>
      </w:pPr>
      <w:r w:rsidRPr="00B45667">
        <w:rPr>
          <w:rFonts w:cs="Times New Roman"/>
          <w:lang w:bidi="ru-RU"/>
        </w:rPr>
        <w:br w:type="page"/>
      </w:r>
    </w:p>
    <w:p w14:paraId="1F0D11C7" w14:textId="77777777" w:rsidR="00C8426D" w:rsidRPr="00B45667" w:rsidRDefault="00C8426D" w:rsidP="00B4476D">
      <w:pPr>
        <w:spacing w:after="40"/>
        <w:rPr>
          <w:rFonts w:cs="Times New Roman"/>
        </w:rPr>
      </w:pPr>
      <w:r w:rsidRPr="00B45667">
        <w:rPr>
          <w:rFonts w:eastAsia="Segoe UI" w:cs="Times New Roman"/>
          <w:b/>
          <w:color w:val="auto"/>
          <w:szCs w:val="18"/>
          <w:lang w:bidi="ru-RU"/>
        </w:rPr>
        <w:lastRenderedPageBreak/>
        <w:t>Таблица 1.</w:t>
      </w:r>
      <w:r w:rsidRPr="00B45667">
        <w:rPr>
          <w:rFonts w:eastAsia="Segoe UI" w:cs="Times New Roman"/>
          <w:color w:val="auto"/>
          <w:szCs w:val="18"/>
          <w:lang w:bidi="ru-RU"/>
        </w:rPr>
        <w:t xml:space="preserve"> Характеристики 11 проспективных исследований, включенных в метаанализ (продолжение)</w:t>
      </w:r>
    </w:p>
    <w:tbl>
      <w:tblPr>
        <w:tblOverlap w:val="never"/>
        <w:tblW w:w="5000" w:type="pct"/>
        <w:tblLayout w:type="fixed"/>
        <w:tblCellMar>
          <w:top w:w="17" w:type="dxa"/>
          <w:left w:w="17" w:type="dxa"/>
          <w:bottom w:w="17" w:type="dxa"/>
          <w:right w:w="17" w:type="dxa"/>
        </w:tblCellMar>
        <w:tblLook w:val="0000" w:firstRow="0" w:lastRow="0" w:firstColumn="0" w:lastColumn="0" w:noHBand="0" w:noVBand="0"/>
      </w:tblPr>
      <w:tblGrid>
        <w:gridCol w:w="1025"/>
        <w:gridCol w:w="1000"/>
        <w:gridCol w:w="509"/>
        <w:gridCol w:w="684"/>
        <w:gridCol w:w="1171"/>
        <w:gridCol w:w="1205"/>
        <w:gridCol w:w="2069"/>
        <w:gridCol w:w="2630"/>
        <w:gridCol w:w="2572"/>
        <w:gridCol w:w="1626"/>
        <w:gridCol w:w="675"/>
      </w:tblGrid>
      <w:tr w:rsidR="004577D8" w:rsidRPr="00B45667" w14:paraId="1F0D11DA" w14:textId="77777777" w:rsidTr="00B4476D">
        <w:trPr>
          <w:trHeight w:val="20"/>
        </w:trPr>
        <w:tc>
          <w:tcPr>
            <w:tcW w:w="1024" w:type="dxa"/>
            <w:tcBorders>
              <w:top w:val="single" w:sz="4" w:space="0" w:color="auto"/>
            </w:tcBorders>
            <w:shd w:val="clear" w:color="auto" w:fill="FFFFFF"/>
          </w:tcPr>
          <w:p w14:paraId="1F0D11C8"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Kao и соавт. ― европеоидная раса (1999) [11]</w:t>
            </w:r>
          </w:p>
          <w:p w14:paraId="1F0D11C9"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исследование ARIC, США</w:t>
            </w:r>
          </w:p>
        </w:tc>
        <w:tc>
          <w:tcPr>
            <w:tcW w:w="999" w:type="dxa"/>
            <w:tcBorders>
              <w:top w:val="single" w:sz="4" w:space="0" w:color="auto"/>
            </w:tcBorders>
            <w:shd w:val="clear" w:color="auto" w:fill="FFFFFF"/>
          </w:tcPr>
          <w:p w14:paraId="1F0D11CA"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54,2</w:t>
            </w:r>
          </w:p>
        </w:tc>
        <w:tc>
          <w:tcPr>
            <w:tcW w:w="508" w:type="dxa"/>
            <w:tcBorders>
              <w:top w:val="single" w:sz="4" w:space="0" w:color="auto"/>
            </w:tcBorders>
            <w:shd w:val="clear" w:color="auto" w:fill="FFFFFF"/>
          </w:tcPr>
          <w:p w14:paraId="1F0D11CB"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46,0</w:t>
            </w:r>
          </w:p>
        </w:tc>
        <w:tc>
          <w:tcPr>
            <w:tcW w:w="682" w:type="dxa"/>
            <w:tcBorders>
              <w:top w:val="single" w:sz="4" w:space="0" w:color="auto"/>
            </w:tcBorders>
            <w:shd w:val="clear" w:color="auto" w:fill="FFFFFF"/>
          </w:tcPr>
          <w:p w14:paraId="1F0D11CC"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5,6</w:t>
            </w:r>
          </w:p>
        </w:tc>
        <w:tc>
          <w:tcPr>
            <w:tcW w:w="1168" w:type="dxa"/>
            <w:tcBorders>
              <w:top w:val="single" w:sz="4" w:space="0" w:color="auto"/>
            </w:tcBorders>
            <w:shd w:val="clear" w:color="auto" w:fill="FFFFFF"/>
          </w:tcPr>
          <w:p w14:paraId="1F0D11CD"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9506/739</w:t>
            </w:r>
          </w:p>
        </w:tc>
        <w:tc>
          <w:tcPr>
            <w:tcW w:w="1202" w:type="dxa"/>
            <w:tcBorders>
              <w:top w:val="single" w:sz="4" w:space="0" w:color="auto"/>
            </w:tcBorders>
            <w:shd w:val="clear" w:color="auto" w:fill="FFFFFF"/>
          </w:tcPr>
          <w:p w14:paraId="1F0D11CE"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Исходная концентрация магния в сыворотке крови (мэкв/л): 0,50‒1,40;</w:t>
            </w:r>
          </w:p>
          <w:p w14:paraId="1F0D11CF"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1,50; 1,60;</w:t>
            </w:r>
          </w:p>
          <w:p w14:paraId="1F0D11D0"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1,70; 1,80;</w:t>
            </w:r>
          </w:p>
          <w:p w14:paraId="1F0D11D1"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1,90‒2,60.</w:t>
            </w:r>
          </w:p>
        </w:tc>
        <w:tc>
          <w:tcPr>
            <w:tcW w:w="2064" w:type="dxa"/>
            <w:tcBorders>
              <w:top w:val="single" w:sz="4" w:space="0" w:color="auto"/>
            </w:tcBorders>
            <w:shd w:val="clear" w:color="auto" w:fill="FFFFFF"/>
          </w:tcPr>
          <w:p w14:paraId="1F0D11D2"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Концентрацию магния в сыворотке крови измеряли с помощью металлохромового красителя калмагита, согласно процедуре, разработанной Gindler и Heth.</w:t>
            </w:r>
          </w:p>
        </w:tc>
        <w:tc>
          <w:tcPr>
            <w:tcW w:w="2624" w:type="dxa"/>
            <w:tcBorders>
              <w:top w:val="single" w:sz="4" w:space="0" w:color="auto"/>
            </w:tcBorders>
            <w:shd w:val="clear" w:color="auto" w:fill="FFFFFF"/>
          </w:tcPr>
          <w:p w14:paraId="1F0D11D3" w14:textId="77777777" w:rsidR="004577D8" w:rsidRPr="00B45667" w:rsidRDefault="00722C17" w:rsidP="00C8426D">
            <w:pPr>
              <w:pStyle w:val="a4"/>
              <w:shd w:val="clear" w:color="auto" w:fill="auto"/>
              <w:spacing w:line="240" w:lineRule="auto"/>
              <w:ind w:right="57"/>
              <w:rPr>
                <w:rFonts w:eastAsia="Lucida Sans Unicode" w:cs="Times New Roman"/>
              </w:rPr>
            </w:pPr>
            <w:r w:rsidRPr="00B45667">
              <w:rPr>
                <w:rFonts w:eastAsia="Lucida Sans Unicode" w:cs="Times New Roman"/>
                <w:lang w:bidi="ru-RU"/>
              </w:rPr>
              <w:t>Сахарный диабет определялся по наличию любого из следующих критериев: 1) концентрация глюкозы натощак ≥ 7,0 ммоль/л; 2) концентрация глюкозы не натощак ≥ 11,1 ммоль/л; 3) прием сахароснижающих препаратов в настоящее время; 4) положительный ответ пациента на вопрос: «Говорил ли вам когда-нибудь врач, что у вас сахарный диабет?» У лиц исходно не имеющих диагноза СД, и соответствующих любому из перечисленных критериев при последующем наблюдении, констатировались новые случаи СД.</w:t>
            </w:r>
          </w:p>
          <w:p w14:paraId="1F0D11D4" w14:textId="77777777" w:rsidR="00C8426D" w:rsidRPr="00B45667" w:rsidRDefault="00C8426D" w:rsidP="00C8426D">
            <w:pPr>
              <w:pStyle w:val="a4"/>
              <w:shd w:val="clear" w:color="auto" w:fill="auto"/>
              <w:spacing w:line="240" w:lineRule="auto"/>
              <w:ind w:right="57"/>
              <w:rPr>
                <w:rFonts w:cs="Times New Roman"/>
              </w:rPr>
            </w:pPr>
          </w:p>
        </w:tc>
        <w:tc>
          <w:tcPr>
            <w:tcW w:w="2566" w:type="dxa"/>
            <w:tcBorders>
              <w:top w:val="single" w:sz="4" w:space="0" w:color="auto"/>
            </w:tcBorders>
            <w:shd w:val="clear" w:color="auto" w:fill="FFFFFF"/>
          </w:tcPr>
          <w:p w14:paraId="1F0D11D5"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Возраст, пол, уровень образования, ИМТ, семейный анамнез сахарного диабета, соотношение окружностей талии и бедер, оценка физической активности, употребление алкоголя, прием диуретиков, концентрации кальция и калия в сыворотке крови, концентрации инсулина и глюкозы натощак исходно.</w:t>
            </w:r>
          </w:p>
        </w:tc>
        <w:tc>
          <w:tcPr>
            <w:tcW w:w="1622" w:type="dxa"/>
            <w:tcBorders>
              <w:top w:val="single" w:sz="4" w:space="0" w:color="auto"/>
            </w:tcBorders>
            <w:shd w:val="clear" w:color="auto" w:fill="FFFFFF"/>
          </w:tcPr>
          <w:p w14:paraId="1F0D11D6" w14:textId="77777777" w:rsidR="00C8426D" w:rsidRPr="00B45667" w:rsidRDefault="00722C17" w:rsidP="00C8426D">
            <w:pPr>
              <w:pStyle w:val="a4"/>
              <w:shd w:val="clear" w:color="auto" w:fill="auto"/>
              <w:spacing w:line="240" w:lineRule="auto"/>
              <w:ind w:right="57"/>
              <w:rPr>
                <w:rFonts w:eastAsia="Lucida Sans Unicode" w:cs="Times New Roman"/>
              </w:rPr>
            </w:pPr>
            <w:r w:rsidRPr="00B45667">
              <w:rPr>
                <w:rFonts w:eastAsia="Lucida Sans Unicode" w:cs="Times New Roman"/>
                <w:lang w:bidi="ru-RU"/>
              </w:rPr>
              <w:t xml:space="preserve">ОШ (95 % ДИ): 1,55 (от 1,01 до </w:t>
            </w:r>
          </w:p>
          <w:p w14:paraId="1F0D11D7"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2,37); 1,11 (от 0,76 до 1,63); 1,05 (от 0,73 до 1,50); 1,10 (от 0,78 до</w:t>
            </w:r>
          </w:p>
          <w:p w14:paraId="1F0D11D8"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 xml:space="preserve">1,57); 1,07 (от 0,74 до 1,57); 1,00 (группа сравнения). </w:t>
            </w:r>
            <w:r w:rsidRPr="00B45667">
              <w:rPr>
                <w:rFonts w:eastAsia="Lucida Sans Unicode" w:cs="Times New Roman"/>
                <w:i/>
                <w:lang w:bidi="ru-RU"/>
              </w:rPr>
              <w:t>P-</w:t>
            </w:r>
            <w:r w:rsidRPr="00B45667">
              <w:rPr>
                <w:rFonts w:eastAsia="Lucida Sans Unicode" w:cs="Times New Roman"/>
                <w:lang w:bidi="ru-RU"/>
              </w:rPr>
              <w:t>значение для тенденции = 0,10.</w:t>
            </w:r>
          </w:p>
        </w:tc>
        <w:tc>
          <w:tcPr>
            <w:tcW w:w="673" w:type="dxa"/>
            <w:tcBorders>
              <w:top w:val="single" w:sz="4" w:space="0" w:color="auto"/>
            </w:tcBorders>
            <w:shd w:val="clear" w:color="auto" w:fill="FFFFFF"/>
          </w:tcPr>
          <w:p w14:paraId="1F0D11D9"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9</w:t>
            </w:r>
          </w:p>
        </w:tc>
      </w:tr>
      <w:tr w:rsidR="004577D8" w:rsidRPr="00B45667" w14:paraId="1F0D11E8" w14:textId="77777777" w:rsidTr="00B4476D">
        <w:trPr>
          <w:trHeight w:val="20"/>
        </w:trPr>
        <w:tc>
          <w:tcPr>
            <w:tcW w:w="1024" w:type="dxa"/>
            <w:shd w:val="clear" w:color="auto" w:fill="FFFFFF"/>
          </w:tcPr>
          <w:p w14:paraId="1F0D11DB" w14:textId="77777777" w:rsidR="004577D8" w:rsidRPr="00B45667" w:rsidRDefault="00722C17" w:rsidP="00C8426D">
            <w:pPr>
              <w:pStyle w:val="a4"/>
              <w:shd w:val="clear" w:color="auto" w:fill="auto"/>
              <w:spacing w:line="240" w:lineRule="auto"/>
              <w:ind w:right="57"/>
              <w:rPr>
                <w:rFonts w:cs="Times New Roman"/>
                <w:lang w:val="it-IT"/>
              </w:rPr>
            </w:pPr>
            <w:r w:rsidRPr="00B45667">
              <w:rPr>
                <w:rFonts w:eastAsia="Lucida Sans Unicode" w:cs="Times New Roman"/>
                <w:lang w:bidi="ru-RU"/>
              </w:rPr>
              <w:t>Everett и соавт. (2006) [30], исследование NHANES I, США</w:t>
            </w:r>
          </w:p>
        </w:tc>
        <w:tc>
          <w:tcPr>
            <w:tcW w:w="999" w:type="dxa"/>
            <w:shd w:val="clear" w:color="auto" w:fill="FFFFFF"/>
          </w:tcPr>
          <w:p w14:paraId="1F0D11DC"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25–74</w:t>
            </w:r>
          </w:p>
        </w:tc>
        <w:tc>
          <w:tcPr>
            <w:tcW w:w="508" w:type="dxa"/>
            <w:shd w:val="clear" w:color="auto" w:fill="FFFFFF"/>
          </w:tcPr>
          <w:p w14:paraId="1F0D11DD"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Н/д</w:t>
            </w:r>
          </w:p>
        </w:tc>
        <w:tc>
          <w:tcPr>
            <w:tcW w:w="682" w:type="dxa"/>
            <w:shd w:val="clear" w:color="auto" w:fill="FFFFFF"/>
          </w:tcPr>
          <w:p w14:paraId="1F0D11DE"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15,0</w:t>
            </w:r>
          </w:p>
        </w:tc>
        <w:tc>
          <w:tcPr>
            <w:tcW w:w="1168" w:type="dxa"/>
            <w:shd w:val="clear" w:color="auto" w:fill="FFFFFF"/>
          </w:tcPr>
          <w:p w14:paraId="1F0D11DF"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9784/690</w:t>
            </w:r>
          </w:p>
        </w:tc>
        <w:tc>
          <w:tcPr>
            <w:tcW w:w="1202" w:type="dxa"/>
            <w:shd w:val="clear" w:color="auto" w:fill="FFFFFF"/>
          </w:tcPr>
          <w:p w14:paraId="1F0D11E0"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Исходная концентрация магния в сыворотке крови в квартилях (мэкв/л): ≤ 1,60; 1,60‒1,68; 1,69‒1,77; ≥ 1,78.</w:t>
            </w:r>
          </w:p>
        </w:tc>
        <w:tc>
          <w:tcPr>
            <w:tcW w:w="2064" w:type="dxa"/>
            <w:shd w:val="clear" w:color="auto" w:fill="FFFFFF"/>
          </w:tcPr>
          <w:p w14:paraId="1F0D11E1"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 xml:space="preserve">Атомная абсорбционная </w:t>
            </w:r>
          </w:p>
          <w:p w14:paraId="1F0D11E2"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спектрофотометрия</w:t>
            </w:r>
          </w:p>
        </w:tc>
        <w:tc>
          <w:tcPr>
            <w:tcW w:w="2624" w:type="dxa"/>
            <w:shd w:val="clear" w:color="auto" w:fill="FFFFFF"/>
          </w:tcPr>
          <w:p w14:paraId="1F0D11E3" w14:textId="77777777" w:rsidR="004577D8" w:rsidRPr="00B45667" w:rsidRDefault="00722C17" w:rsidP="00C8426D">
            <w:pPr>
              <w:pStyle w:val="a4"/>
              <w:shd w:val="clear" w:color="auto" w:fill="auto"/>
              <w:spacing w:line="240" w:lineRule="auto"/>
              <w:ind w:right="57"/>
              <w:rPr>
                <w:rFonts w:eastAsia="Lucida Sans Unicode" w:cs="Times New Roman"/>
              </w:rPr>
            </w:pPr>
            <w:r w:rsidRPr="00B45667">
              <w:rPr>
                <w:rFonts w:eastAsia="Lucida Sans Unicode" w:cs="Times New Roman"/>
                <w:lang w:bidi="ru-RU"/>
              </w:rPr>
              <w:t>Новые случаи СД выявлялись по записям в картах центров сестринского ухода и историях болезни стационарного больного, а также по свидетельствам о смерти. Коды МКБ-9 (250.0‒250.9) для СД использовались для выявления лиц, госпитализированных в медицинские учреждения.</w:t>
            </w:r>
          </w:p>
          <w:p w14:paraId="1F0D11E4" w14:textId="77777777" w:rsidR="00C8426D" w:rsidRPr="00B45667" w:rsidRDefault="00C8426D" w:rsidP="00C8426D">
            <w:pPr>
              <w:pStyle w:val="a4"/>
              <w:shd w:val="clear" w:color="auto" w:fill="auto"/>
              <w:spacing w:line="240" w:lineRule="auto"/>
              <w:ind w:right="57"/>
              <w:rPr>
                <w:rFonts w:cs="Times New Roman"/>
              </w:rPr>
            </w:pPr>
          </w:p>
        </w:tc>
        <w:tc>
          <w:tcPr>
            <w:tcW w:w="2566" w:type="dxa"/>
            <w:shd w:val="clear" w:color="auto" w:fill="FFFFFF"/>
          </w:tcPr>
          <w:p w14:paraId="1F0D11E5"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Возраст, пол, расовая принадлежность, уровень образования, ИМТ, АГ и уровень общего холестерина.</w:t>
            </w:r>
          </w:p>
        </w:tc>
        <w:tc>
          <w:tcPr>
            <w:tcW w:w="1622" w:type="dxa"/>
            <w:shd w:val="clear" w:color="auto" w:fill="FFFFFF"/>
          </w:tcPr>
          <w:p w14:paraId="1F0D11E6"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ОР (95 % ДИ): 1,51 (от 1,12 до 2,03); 1,20 (от 0,88 до 1,62); 0,99 (от 0,73 до 1,34); 1,00 (группа сравнения).</w:t>
            </w:r>
          </w:p>
        </w:tc>
        <w:tc>
          <w:tcPr>
            <w:tcW w:w="673" w:type="dxa"/>
            <w:shd w:val="clear" w:color="auto" w:fill="FFFFFF"/>
          </w:tcPr>
          <w:p w14:paraId="1F0D11E7"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9</w:t>
            </w:r>
          </w:p>
        </w:tc>
      </w:tr>
      <w:tr w:rsidR="004577D8" w:rsidRPr="00B45667" w14:paraId="1F0D11F6" w14:textId="77777777" w:rsidTr="00B4476D">
        <w:trPr>
          <w:trHeight w:val="20"/>
        </w:trPr>
        <w:tc>
          <w:tcPr>
            <w:tcW w:w="1024" w:type="dxa"/>
            <w:shd w:val="clear" w:color="auto" w:fill="FFFFFF"/>
          </w:tcPr>
          <w:p w14:paraId="1F0D11E9"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Guerrero-Romero и соавт. (2008) [31], Мексиканское исследование профилактики сахарного диабета, Мексика</w:t>
            </w:r>
          </w:p>
        </w:tc>
        <w:tc>
          <w:tcPr>
            <w:tcW w:w="999" w:type="dxa"/>
            <w:shd w:val="clear" w:color="auto" w:fill="FFFFFF"/>
          </w:tcPr>
          <w:p w14:paraId="1F0D11EA"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56,7 ± 11,9</w:t>
            </w:r>
          </w:p>
          <w:p w14:paraId="1F0D11EB"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(20‒65)</w:t>
            </w:r>
          </w:p>
        </w:tc>
        <w:tc>
          <w:tcPr>
            <w:tcW w:w="508" w:type="dxa"/>
            <w:shd w:val="clear" w:color="auto" w:fill="FFFFFF"/>
          </w:tcPr>
          <w:p w14:paraId="1F0D11EC"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Н/д</w:t>
            </w:r>
          </w:p>
        </w:tc>
        <w:tc>
          <w:tcPr>
            <w:tcW w:w="682" w:type="dxa"/>
            <w:shd w:val="clear" w:color="auto" w:fill="FFFFFF"/>
          </w:tcPr>
          <w:p w14:paraId="1F0D11ED"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6,6</w:t>
            </w:r>
          </w:p>
        </w:tc>
        <w:tc>
          <w:tcPr>
            <w:tcW w:w="1168" w:type="dxa"/>
            <w:shd w:val="clear" w:color="auto" w:fill="FFFFFF"/>
          </w:tcPr>
          <w:p w14:paraId="1F0D11EE"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817/78</w:t>
            </w:r>
          </w:p>
        </w:tc>
        <w:tc>
          <w:tcPr>
            <w:tcW w:w="1202" w:type="dxa"/>
            <w:shd w:val="clear" w:color="auto" w:fill="FFFFFF"/>
          </w:tcPr>
          <w:p w14:paraId="1F0D11EF"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Исходная концентрация магния в сыворотке крови в двух группах (ммоль/л): &lt; 0,74; ≥ 0,74.</w:t>
            </w:r>
          </w:p>
        </w:tc>
        <w:tc>
          <w:tcPr>
            <w:tcW w:w="2064" w:type="dxa"/>
            <w:shd w:val="clear" w:color="auto" w:fill="FFFFFF"/>
          </w:tcPr>
          <w:p w14:paraId="1F0D11F0"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Концентрацию магния в сыворотке крови измеряли колориметрическим методом на клиническом анализаторе с прямым доступом к данным Data Pro Plus (Арлингтон, Техас, США).</w:t>
            </w:r>
          </w:p>
        </w:tc>
        <w:tc>
          <w:tcPr>
            <w:tcW w:w="2624" w:type="dxa"/>
            <w:shd w:val="clear" w:color="auto" w:fill="FFFFFF"/>
          </w:tcPr>
          <w:p w14:paraId="1F0D11F1"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СД определялся по наличию любого из следующих критериев: 1) концентрация глюкозы в сыворотке крови через 2 часа после нагрузки глюкозой ≥ 11,1 ммоль/л; 2) применение препаратов для лечения сахарного диабета в настоящее время (сахароснижающих препаратов или инсулина).</w:t>
            </w:r>
          </w:p>
        </w:tc>
        <w:tc>
          <w:tcPr>
            <w:tcW w:w="2566" w:type="dxa"/>
            <w:shd w:val="clear" w:color="auto" w:fill="FFFFFF"/>
          </w:tcPr>
          <w:p w14:paraId="1F0D11F2"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Возраст, пол, семейный анамнез сахарного диабета, окружность талии и индекс инсулинорезистентности HOMA-IR.</w:t>
            </w:r>
          </w:p>
        </w:tc>
        <w:tc>
          <w:tcPr>
            <w:tcW w:w="1622" w:type="dxa"/>
            <w:shd w:val="clear" w:color="auto" w:fill="FFFFFF"/>
          </w:tcPr>
          <w:p w14:paraId="1F0D11F3"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ОР (95 % ДИ): 2,54 (от 1,1 до</w:t>
            </w:r>
          </w:p>
          <w:p w14:paraId="1F0D11F4"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4,1); 1,00 (группа сравнения).</w:t>
            </w:r>
          </w:p>
        </w:tc>
        <w:tc>
          <w:tcPr>
            <w:tcW w:w="673" w:type="dxa"/>
            <w:shd w:val="clear" w:color="auto" w:fill="FFFFFF"/>
          </w:tcPr>
          <w:p w14:paraId="1F0D11F5"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7</w:t>
            </w:r>
          </w:p>
        </w:tc>
      </w:tr>
      <w:tr w:rsidR="004577D8" w:rsidRPr="00B45667" w14:paraId="1F0D1206" w14:textId="77777777" w:rsidTr="00B4476D">
        <w:trPr>
          <w:trHeight w:val="20"/>
        </w:trPr>
        <w:tc>
          <w:tcPr>
            <w:tcW w:w="1024" w:type="dxa"/>
            <w:tcBorders>
              <w:bottom w:val="single" w:sz="4" w:space="0" w:color="auto"/>
            </w:tcBorders>
            <w:shd w:val="clear" w:color="auto" w:fill="FFFFFF"/>
          </w:tcPr>
          <w:p w14:paraId="1F0D11F7"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Kieboom и соавт. (2017) [32], Роттердамское исследование, Нидерланды</w:t>
            </w:r>
          </w:p>
        </w:tc>
        <w:tc>
          <w:tcPr>
            <w:tcW w:w="999" w:type="dxa"/>
            <w:tcBorders>
              <w:bottom w:val="single" w:sz="4" w:space="0" w:color="auto"/>
            </w:tcBorders>
            <w:shd w:val="clear" w:color="auto" w:fill="FFFFFF"/>
          </w:tcPr>
          <w:p w14:paraId="1F0D11F8"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64,7 ± 9,7</w:t>
            </w:r>
          </w:p>
        </w:tc>
        <w:tc>
          <w:tcPr>
            <w:tcW w:w="508" w:type="dxa"/>
            <w:tcBorders>
              <w:bottom w:val="single" w:sz="4" w:space="0" w:color="auto"/>
            </w:tcBorders>
            <w:shd w:val="clear" w:color="auto" w:fill="FFFFFF"/>
          </w:tcPr>
          <w:p w14:paraId="1F0D11F9"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42,2</w:t>
            </w:r>
          </w:p>
        </w:tc>
        <w:tc>
          <w:tcPr>
            <w:tcW w:w="682" w:type="dxa"/>
            <w:tcBorders>
              <w:bottom w:val="single" w:sz="4" w:space="0" w:color="auto"/>
            </w:tcBorders>
            <w:shd w:val="clear" w:color="auto" w:fill="FFFFFF"/>
          </w:tcPr>
          <w:p w14:paraId="1F0D11FA"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6,7</w:t>
            </w:r>
          </w:p>
        </w:tc>
        <w:tc>
          <w:tcPr>
            <w:tcW w:w="1168" w:type="dxa"/>
            <w:tcBorders>
              <w:bottom w:val="single" w:sz="4" w:space="0" w:color="auto"/>
            </w:tcBorders>
            <w:shd w:val="clear" w:color="auto" w:fill="FFFFFF"/>
          </w:tcPr>
          <w:p w14:paraId="1F0D11FB"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8555/806</w:t>
            </w:r>
          </w:p>
        </w:tc>
        <w:tc>
          <w:tcPr>
            <w:tcW w:w="1202" w:type="dxa"/>
            <w:tcBorders>
              <w:bottom w:val="single" w:sz="4" w:space="0" w:color="auto"/>
            </w:tcBorders>
            <w:shd w:val="clear" w:color="auto" w:fill="FFFFFF"/>
          </w:tcPr>
          <w:p w14:paraId="1F0D11FC"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Исходная концентрация магния в сыворотке крови в двух группах (ммоль/л): ≤ 0,72; &gt; 0,72.</w:t>
            </w:r>
          </w:p>
        </w:tc>
        <w:tc>
          <w:tcPr>
            <w:tcW w:w="2064" w:type="dxa"/>
            <w:tcBorders>
              <w:bottom w:val="single" w:sz="4" w:space="0" w:color="auto"/>
            </w:tcBorders>
            <w:shd w:val="clear" w:color="auto" w:fill="FFFFFF"/>
          </w:tcPr>
          <w:p w14:paraId="1F0D11FD"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Концентрацию магния в сыворотке крови измеряли колориметрическим методом на анализаторе Cobas c501 производства «Рош»/«Хитачи» («Рош Диагностикс», Индианаполис, Индиана, США)</w:t>
            </w:r>
          </w:p>
        </w:tc>
        <w:tc>
          <w:tcPr>
            <w:tcW w:w="2624" w:type="dxa"/>
            <w:tcBorders>
              <w:bottom w:val="single" w:sz="4" w:space="0" w:color="auto"/>
            </w:tcBorders>
            <w:shd w:val="clear" w:color="auto" w:fill="FFFFFF"/>
          </w:tcPr>
          <w:p w14:paraId="1F0D11FE" w14:textId="77777777" w:rsidR="004577D8" w:rsidRPr="00B45667" w:rsidRDefault="00722C17" w:rsidP="00C8426D">
            <w:pPr>
              <w:pStyle w:val="a4"/>
              <w:shd w:val="clear" w:color="auto" w:fill="auto"/>
              <w:spacing w:line="240" w:lineRule="auto"/>
              <w:ind w:right="57"/>
              <w:rPr>
                <w:rFonts w:eastAsia="Lucida Sans Unicode" w:cs="Times New Roman"/>
              </w:rPr>
            </w:pPr>
            <w:r w:rsidRPr="00B45667">
              <w:rPr>
                <w:rFonts w:eastAsia="Lucida Sans Unicode" w:cs="Times New Roman"/>
                <w:lang w:bidi="ru-RU"/>
              </w:rPr>
              <w:t>Новые случаи сахарного диабета подтверждались записями врачей общей практики в медицинских картах, данными выписных эпикризов и результатами измерений уровня гликемии. СД определялся по наличию любого из следующих критериев: 1) концентрация глюкозы натощак ≥ 7,0 ммоль/л; 2) концентрация глюкозы не натощак ≥ 11,1 ммоль/л; 3) прием сахароснижающих препаратов в настоящее время.</w:t>
            </w:r>
          </w:p>
          <w:p w14:paraId="1F0D11FF" w14:textId="77777777" w:rsidR="00C8426D" w:rsidRPr="00B45667" w:rsidRDefault="00C8426D" w:rsidP="00C8426D">
            <w:pPr>
              <w:pStyle w:val="a4"/>
              <w:shd w:val="clear" w:color="auto" w:fill="auto"/>
              <w:spacing w:line="240" w:lineRule="auto"/>
              <w:ind w:right="57"/>
              <w:rPr>
                <w:rFonts w:cs="Times New Roman"/>
              </w:rPr>
            </w:pPr>
          </w:p>
        </w:tc>
        <w:tc>
          <w:tcPr>
            <w:tcW w:w="2566" w:type="dxa"/>
            <w:tcBorders>
              <w:bottom w:val="single" w:sz="4" w:space="0" w:color="auto"/>
            </w:tcBorders>
            <w:shd w:val="clear" w:color="auto" w:fill="FFFFFF"/>
          </w:tcPr>
          <w:p w14:paraId="1F0D1200"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Возраст, возраст</w:t>
            </w:r>
            <w:r w:rsidRPr="00B45667">
              <w:rPr>
                <w:rFonts w:eastAsia="Lucida Sans Unicode" w:cs="Times New Roman"/>
                <w:vertAlign w:val="superscript"/>
                <w:lang w:bidi="ru-RU"/>
              </w:rPr>
              <w:t>2</w:t>
            </w:r>
            <w:r w:rsidRPr="00B45667">
              <w:rPr>
                <w:rFonts w:eastAsia="Lucida Sans Unicode" w:cs="Times New Roman"/>
                <w:lang w:bidi="ru-RU"/>
              </w:rPr>
              <w:t>, пол, ИМТ, статус курения, употребление алкоголя, соотношение общего холестерина к холестерину ЛПВП, артериальная гипертензия, инсульт и ИБС в анамнезе, рСКФ, концентрации кальция и калия в сыворотке крови, прием диуретиков</w:t>
            </w:r>
          </w:p>
        </w:tc>
        <w:tc>
          <w:tcPr>
            <w:tcW w:w="1622" w:type="dxa"/>
            <w:tcBorders>
              <w:bottom w:val="single" w:sz="4" w:space="0" w:color="auto"/>
            </w:tcBorders>
            <w:shd w:val="clear" w:color="auto" w:fill="FFFFFF"/>
          </w:tcPr>
          <w:p w14:paraId="1F0D1201"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ОР (95 % ДИ): 1,79 (от 1,16 до</w:t>
            </w:r>
          </w:p>
          <w:p w14:paraId="1F0D1202"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2,77); 1,00</w:t>
            </w:r>
          </w:p>
          <w:p w14:paraId="1F0D1203"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(группа сравнения) Непрерывное (↓0,1</w:t>
            </w:r>
          </w:p>
          <w:p w14:paraId="1F0D1204"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ммоль/л): 1,18 (от 1,04 до 1,33).</w:t>
            </w:r>
          </w:p>
        </w:tc>
        <w:tc>
          <w:tcPr>
            <w:tcW w:w="673" w:type="dxa"/>
            <w:tcBorders>
              <w:bottom w:val="single" w:sz="4" w:space="0" w:color="auto"/>
            </w:tcBorders>
            <w:shd w:val="clear" w:color="auto" w:fill="FFFFFF"/>
          </w:tcPr>
          <w:p w14:paraId="1F0D1205" w14:textId="77777777" w:rsidR="004577D8" w:rsidRPr="00B45667" w:rsidRDefault="00722C17" w:rsidP="00C8426D">
            <w:pPr>
              <w:pStyle w:val="a4"/>
              <w:shd w:val="clear" w:color="auto" w:fill="auto"/>
              <w:spacing w:line="240" w:lineRule="auto"/>
              <w:ind w:right="57"/>
              <w:rPr>
                <w:rFonts w:cs="Times New Roman"/>
              </w:rPr>
            </w:pPr>
            <w:r w:rsidRPr="00B45667">
              <w:rPr>
                <w:rFonts w:eastAsia="Lucida Sans Unicode" w:cs="Times New Roman"/>
                <w:lang w:bidi="ru-RU"/>
              </w:rPr>
              <w:t>9</w:t>
            </w:r>
          </w:p>
        </w:tc>
      </w:tr>
    </w:tbl>
    <w:p w14:paraId="1F0D1207" w14:textId="77777777" w:rsidR="004577D8" w:rsidRPr="00B45667" w:rsidRDefault="004577D8">
      <w:pPr>
        <w:spacing w:after="99" w:line="1" w:lineRule="exact"/>
        <w:rPr>
          <w:rFonts w:cs="Times New Roman"/>
        </w:rPr>
      </w:pPr>
    </w:p>
    <w:p w14:paraId="1F0D1208" w14:textId="77777777" w:rsidR="00074A29" w:rsidRPr="00B45667" w:rsidRDefault="00722C17" w:rsidP="000F6DB1">
      <w:pPr>
        <w:pStyle w:val="40"/>
        <w:shd w:val="clear" w:color="auto" w:fill="auto"/>
        <w:ind w:right="-36"/>
        <w:jc w:val="both"/>
        <w:rPr>
          <w:rFonts w:cs="Times New Roman"/>
        </w:rPr>
      </w:pPr>
      <w:r w:rsidRPr="00B45667">
        <w:rPr>
          <w:rFonts w:eastAsia="Segoe UI" w:cs="Times New Roman"/>
          <w:i/>
          <w:lang w:bidi="ru-RU"/>
        </w:rPr>
        <w:t>Сокращения:  ARIC</w:t>
      </w:r>
      <w:r w:rsidRPr="00B45667">
        <w:rPr>
          <w:rFonts w:eastAsia="Segoe UI" w:cs="Times New Roman"/>
          <w:lang w:bidi="ru-RU"/>
        </w:rPr>
        <w:t> ― Исследование риска атеросклероза в обществе (</w:t>
      </w:r>
      <w:r w:rsidRPr="00B45667">
        <w:rPr>
          <w:rFonts w:eastAsia="Segoe UI" w:cs="Times New Roman"/>
          <w:i/>
          <w:lang w:bidi="ru-RU"/>
        </w:rPr>
        <w:t>Atherosclerosis Risk in Communities</w:t>
      </w:r>
      <w:r w:rsidRPr="00B45667">
        <w:rPr>
          <w:rFonts w:eastAsia="Segoe UI" w:cs="Times New Roman"/>
          <w:lang w:bidi="ru-RU"/>
        </w:rPr>
        <w:t xml:space="preserve">); </w:t>
      </w:r>
      <w:r w:rsidRPr="00B45667">
        <w:rPr>
          <w:rFonts w:eastAsia="Segoe UI" w:cs="Times New Roman"/>
          <w:i/>
          <w:lang w:bidi="ru-RU"/>
        </w:rPr>
        <w:t>ИМТ</w:t>
      </w:r>
      <w:r w:rsidRPr="00B45667">
        <w:rPr>
          <w:rFonts w:eastAsia="Segoe UI" w:cs="Times New Roman"/>
          <w:lang w:bidi="ru-RU"/>
        </w:rPr>
        <w:t xml:space="preserve"> ― индекс массы тела; </w:t>
      </w:r>
      <w:r w:rsidRPr="00B45667">
        <w:rPr>
          <w:rFonts w:eastAsia="Segoe UI" w:cs="Times New Roman"/>
          <w:i/>
          <w:lang w:bidi="ru-RU"/>
        </w:rPr>
        <w:t>ИБС</w:t>
      </w:r>
      <w:r w:rsidRPr="00B45667">
        <w:rPr>
          <w:rFonts w:eastAsia="Segoe UI" w:cs="Times New Roman"/>
          <w:lang w:bidi="ru-RU"/>
        </w:rPr>
        <w:t xml:space="preserve"> ― ишемическая болезнь сердца; </w:t>
      </w:r>
      <w:r w:rsidRPr="00B45667">
        <w:rPr>
          <w:rFonts w:eastAsia="Segoe UI" w:cs="Times New Roman"/>
          <w:i/>
          <w:lang w:bidi="ru-RU"/>
        </w:rPr>
        <w:t>ДИ</w:t>
      </w:r>
      <w:r w:rsidRPr="00B45667">
        <w:rPr>
          <w:rFonts w:eastAsia="Segoe UI" w:cs="Times New Roman"/>
          <w:lang w:bidi="ru-RU"/>
        </w:rPr>
        <w:t xml:space="preserve"> ― доверительный интервал; </w:t>
      </w:r>
      <w:r w:rsidRPr="00B45667">
        <w:rPr>
          <w:rFonts w:eastAsia="Segoe UI" w:cs="Times New Roman"/>
          <w:i/>
          <w:lang w:bidi="ru-RU"/>
        </w:rPr>
        <w:t>ССЗ</w:t>
      </w:r>
      <w:r w:rsidRPr="00B45667">
        <w:rPr>
          <w:rFonts w:eastAsia="Segoe UI" w:cs="Times New Roman"/>
          <w:lang w:bidi="ru-RU"/>
        </w:rPr>
        <w:t xml:space="preserve"> ― сердечно-сосудистые заболевания; </w:t>
      </w:r>
      <w:r w:rsidRPr="00B45667">
        <w:rPr>
          <w:rFonts w:eastAsia="Segoe UI" w:cs="Times New Roman"/>
          <w:i/>
          <w:lang w:bidi="ru-RU"/>
        </w:rPr>
        <w:t>ДАД</w:t>
      </w:r>
      <w:r w:rsidRPr="00B45667">
        <w:rPr>
          <w:rFonts w:eastAsia="Segoe UI" w:cs="Times New Roman"/>
          <w:lang w:bidi="ru-RU"/>
        </w:rPr>
        <w:t xml:space="preserve"> ― диастолическое артериальное давление; </w:t>
      </w:r>
      <w:r w:rsidRPr="00B45667">
        <w:rPr>
          <w:rFonts w:eastAsia="Segoe UI" w:cs="Times New Roman"/>
          <w:i/>
          <w:lang w:bidi="ru-RU"/>
        </w:rPr>
        <w:t>рСКФ</w:t>
      </w:r>
      <w:r w:rsidRPr="00B45667">
        <w:rPr>
          <w:rFonts w:eastAsia="Segoe UI" w:cs="Times New Roman"/>
          <w:lang w:bidi="ru-RU"/>
        </w:rPr>
        <w:t xml:space="preserve"> ― расчётная скорость клубочковой фильтрации; </w:t>
      </w:r>
      <w:r w:rsidRPr="00B45667">
        <w:rPr>
          <w:rFonts w:eastAsia="Segoe UI" w:cs="Times New Roman"/>
          <w:i/>
          <w:lang w:bidi="ru-RU"/>
        </w:rPr>
        <w:t>ЛПВП</w:t>
      </w:r>
      <w:r w:rsidRPr="00B45667">
        <w:rPr>
          <w:rFonts w:eastAsia="Segoe UI" w:cs="Times New Roman"/>
          <w:lang w:bidi="ru-RU"/>
        </w:rPr>
        <w:t xml:space="preserve"> ― липопротеины высокой плотности; </w:t>
      </w:r>
      <w:r w:rsidRPr="00B45667">
        <w:rPr>
          <w:rFonts w:eastAsia="Segoe UI" w:cs="Times New Roman"/>
          <w:i/>
          <w:lang w:bidi="ru-RU"/>
        </w:rPr>
        <w:t>HOMA-IR</w:t>
      </w:r>
      <w:r w:rsidRPr="00B45667">
        <w:rPr>
          <w:rFonts w:eastAsia="Segoe UI" w:cs="Times New Roman"/>
          <w:lang w:bidi="ru-RU"/>
        </w:rPr>
        <w:t xml:space="preserve"> ― оценка гомеостатической модели инсулинорезистентности; </w:t>
      </w:r>
      <w:r w:rsidRPr="00B45667">
        <w:rPr>
          <w:rFonts w:eastAsia="Segoe UI" w:cs="Times New Roman"/>
          <w:i/>
          <w:lang w:bidi="ru-RU"/>
        </w:rPr>
        <w:t>ОР</w:t>
      </w:r>
      <w:r w:rsidRPr="00B45667">
        <w:rPr>
          <w:rFonts w:eastAsia="Segoe UI" w:cs="Times New Roman"/>
          <w:lang w:bidi="ru-RU"/>
        </w:rPr>
        <w:t xml:space="preserve"> ― относительный риск/отношение рисков; </w:t>
      </w:r>
      <w:r w:rsidRPr="00B45667">
        <w:rPr>
          <w:rFonts w:eastAsia="Segoe UI" w:cs="Times New Roman"/>
          <w:i/>
          <w:lang w:bidi="ru-RU"/>
        </w:rPr>
        <w:t>ИМ</w:t>
      </w:r>
      <w:r w:rsidRPr="00B45667">
        <w:rPr>
          <w:rFonts w:eastAsia="Segoe UI" w:cs="Times New Roman"/>
          <w:lang w:bidi="ru-RU"/>
        </w:rPr>
        <w:t xml:space="preserve"> ― инфаркт миокарда; </w:t>
      </w:r>
      <w:r w:rsidRPr="00B45667">
        <w:rPr>
          <w:rFonts w:eastAsia="Segoe UI" w:cs="Times New Roman"/>
          <w:i/>
          <w:lang w:bidi="ru-RU"/>
        </w:rPr>
        <w:t>Н/д</w:t>
      </w:r>
      <w:r w:rsidRPr="00B45667">
        <w:rPr>
          <w:rFonts w:eastAsia="Segoe UI" w:cs="Times New Roman"/>
          <w:lang w:bidi="ru-RU"/>
        </w:rPr>
        <w:t xml:space="preserve"> ― нет данных; </w:t>
      </w:r>
      <w:r w:rsidRPr="00B45667">
        <w:rPr>
          <w:rFonts w:eastAsia="Segoe UI" w:cs="Times New Roman"/>
          <w:i/>
          <w:lang w:bidi="ru-RU"/>
        </w:rPr>
        <w:t>NHANES</w:t>
      </w:r>
      <w:r w:rsidRPr="00B45667">
        <w:rPr>
          <w:rFonts w:eastAsia="Segoe UI" w:cs="Times New Roman"/>
          <w:lang w:bidi="ru-RU"/>
        </w:rPr>
        <w:t> ― Национальная программа проверки здоровья и питания (</w:t>
      </w:r>
      <w:r w:rsidRPr="00B45667">
        <w:rPr>
          <w:rFonts w:eastAsia="Segoe UI" w:cs="Times New Roman"/>
          <w:i/>
          <w:lang w:bidi="ru-RU"/>
        </w:rPr>
        <w:t>National Health and Nutrition Examination Survey</w:t>
      </w:r>
      <w:r w:rsidRPr="00B45667">
        <w:rPr>
          <w:rFonts w:eastAsia="Segoe UI" w:cs="Times New Roman"/>
          <w:lang w:bidi="ru-RU"/>
        </w:rPr>
        <w:t xml:space="preserve">); </w:t>
      </w:r>
      <w:r w:rsidRPr="00B45667">
        <w:rPr>
          <w:rFonts w:eastAsia="Segoe UI" w:cs="Times New Roman"/>
          <w:i/>
          <w:lang w:bidi="ru-RU"/>
        </w:rPr>
        <w:t>ОШ</w:t>
      </w:r>
      <w:r w:rsidRPr="00B45667">
        <w:rPr>
          <w:rFonts w:eastAsia="Segoe UI" w:cs="Times New Roman"/>
          <w:lang w:bidi="ru-RU"/>
        </w:rPr>
        <w:t xml:space="preserve"> ― отношение шансов; </w:t>
      </w:r>
      <w:r w:rsidRPr="00B45667">
        <w:rPr>
          <w:rFonts w:eastAsia="Segoe UI" w:cs="Times New Roman"/>
          <w:i/>
          <w:lang w:bidi="ru-RU"/>
        </w:rPr>
        <w:t>PREVEND</w:t>
      </w:r>
      <w:r w:rsidRPr="00B45667">
        <w:rPr>
          <w:rFonts w:eastAsia="Segoe UI" w:cs="Times New Roman"/>
          <w:lang w:bidi="ru-RU"/>
        </w:rPr>
        <w:t> ― Исследование профилактики терминальных стадий почечной недостаточности и сосудистых осложнений (</w:t>
      </w:r>
      <w:r w:rsidRPr="00B45667">
        <w:rPr>
          <w:rFonts w:eastAsia="Segoe UI" w:cs="Times New Roman"/>
          <w:i/>
          <w:lang w:bidi="ru-RU"/>
        </w:rPr>
        <w:t>Prevention of Renal and Vascular End-Stage Disease Study</w:t>
      </w:r>
      <w:r w:rsidRPr="00B45667">
        <w:rPr>
          <w:rFonts w:eastAsia="Segoe UI" w:cs="Times New Roman"/>
          <w:lang w:bidi="ru-RU"/>
        </w:rPr>
        <w:t xml:space="preserve">); </w:t>
      </w:r>
      <w:r w:rsidRPr="00B45667">
        <w:rPr>
          <w:rFonts w:eastAsia="Segoe UI" w:cs="Times New Roman"/>
          <w:i/>
          <w:lang w:bidi="ru-RU"/>
        </w:rPr>
        <w:t>САД</w:t>
      </w:r>
      <w:r w:rsidRPr="00B45667">
        <w:rPr>
          <w:rFonts w:eastAsia="Segoe UI" w:cs="Times New Roman"/>
          <w:lang w:bidi="ru-RU"/>
        </w:rPr>
        <w:t xml:space="preserve"> ― систолическое артериальное давление; </w:t>
      </w:r>
      <w:r w:rsidRPr="00B45667">
        <w:rPr>
          <w:rFonts w:eastAsia="Segoe UI" w:cs="Times New Roman"/>
          <w:i/>
          <w:lang w:bidi="ru-RU"/>
        </w:rPr>
        <w:t>США</w:t>
      </w:r>
      <w:r w:rsidRPr="00B45667">
        <w:rPr>
          <w:rFonts w:eastAsia="Segoe UI" w:cs="Times New Roman"/>
          <w:lang w:bidi="ru-RU"/>
        </w:rPr>
        <w:t xml:space="preserve"> ― Соединенные Штаты Америки </w:t>
      </w:r>
    </w:p>
    <w:p w14:paraId="1F0D1209" w14:textId="77777777" w:rsidR="004577D8" w:rsidRPr="00B45667" w:rsidRDefault="00074A29" w:rsidP="000F6DB1">
      <w:pPr>
        <w:pStyle w:val="40"/>
        <w:shd w:val="clear" w:color="auto" w:fill="auto"/>
        <w:ind w:right="-36"/>
        <w:jc w:val="both"/>
        <w:rPr>
          <w:rFonts w:cs="Times New Roman"/>
        </w:rPr>
      </w:pPr>
      <w:r w:rsidRPr="00B45667">
        <w:rPr>
          <w:rFonts w:cs="Times New Roman"/>
          <w:lang w:bidi="ru-RU"/>
        </w:rPr>
        <w:t>*По шкале оценки качества исследований Ньюкасл ― Оттава</w:t>
      </w:r>
    </w:p>
    <w:p w14:paraId="1F0D120A" w14:textId="77777777" w:rsidR="00074A29" w:rsidRPr="00B45667" w:rsidRDefault="00074A29">
      <w:pPr>
        <w:rPr>
          <w:rFonts w:cs="Times New Roman"/>
        </w:rPr>
        <w:sectPr w:rsidR="00074A29" w:rsidRPr="00B45667" w:rsidSect="00B45667">
          <w:headerReference w:type="default" r:id="rId36"/>
          <w:pgSz w:w="16834" w:h="12240" w:orient="landscape"/>
          <w:pgMar w:top="993" w:right="851" w:bottom="568" w:left="851" w:header="567" w:footer="567" w:gutter="0"/>
          <w:cols w:space="720"/>
          <w:noEndnote/>
          <w:docGrid w:linePitch="360"/>
        </w:sectPr>
      </w:pPr>
    </w:p>
    <w:tbl>
      <w:tblPr>
        <w:tblStyle w:val="af3"/>
        <w:tblW w:w="5000" w:type="pct"/>
        <w:tblCellMar>
          <w:top w:w="17" w:type="dxa"/>
          <w:left w:w="17" w:type="dxa"/>
          <w:bottom w:w="17" w:type="dxa"/>
          <w:right w:w="17" w:type="dxa"/>
        </w:tblCellMar>
        <w:tblLook w:val="04A0" w:firstRow="1" w:lastRow="0" w:firstColumn="1" w:lastColumn="0" w:noHBand="0" w:noVBand="1"/>
      </w:tblPr>
      <w:tblGrid>
        <w:gridCol w:w="10006"/>
      </w:tblGrid>
      <w:tr w:rsidR="00074A29" w:rsidRPr="00B45667" w14:paraId="1F0D1278" w14:textId="77777777" w:rsidTr="00EF675A">
        <w:trPr>
          <w:trHeight w:val="4999"/>
        </w:trPr>
        <w:tc>
          <w:tcPr>
            <w:tcW w:w="5000" w:type="pct"/>
            <w:shd w:val="clear" w:color="auto" w:fill="auto"/>
          </w:tcPr>
          <w:p w14:paraId="1F0D120B" w14:textId="56AA23CC" w:rsidR="00074A29" w:rsidRPr="00B45667" w:rsidRDefault="00116FC7" w:rsidP="00074A29">
            <w:pPr>
              <w:jc w:val="center"/>
              <w:rPr>
                <w:rFonts w:cs="Times New Roman"/>
                <w:sz w:val="8"/>
                <w:szCs w:val="8"/>
              </w:rPr>
            </w:pPr>
            <w:r w:rsidRPr="00B45667">
              <w:rPr>
                <w:rFonts w:eastAsia="Times New Roman" w:cs="Times New Roman"/>
                <w:b/>
                <w:noProof/>
                <w:lang w:eastAsia="ru-RU" w:bidi="ar-SA"/>
              </w:rPr>
              <w:lastRenderedPageBreak/>
              <mc:AlternateContent>
                <mc:Choice Requires="wpg">
                  <w:drawing>
                    <wp:anchor distT="0" distB="0" distL="114300" distR="114300" simplePos="0" relativeHeight="251661312" behindDoc="1" locked="0" layoutInCell="1" allowOverlap="1" wp14:anchorId="1F0D13C5" wp14:editId="7215D71E">
                      <wp:simplePos x="0" y="0"/>
                      <wp:positionH relativeFrom="column">
                        <wp:posOffset>2103755</wp:posOffset>
                      </wp:positionH>
                      <wp:positionV relativeFrom="paragraph">
                        <wp:posOffset>453466</wp:posOffset>
                      </wp:positionV>
                      <wp:extent cx="1990090" cy="2253081"/>
                      <wp:effectExtent l="0" t="0" r="0" b="0"/>
                      <wp:wrapNone/>
                      <wp:docPr id="27" name="Группа 7"/>
                      <wp:cNvGraphicFramePr/>
                      <a:graphic xmlns:a="http://schemas.openxmlformats.org/drawingml/2006/main">
                        <a:graphicData uri="http://schemas.microsoft.com/office/word/2010/wordprocessingGroup">
                          <wpg:wgp>
                            <wpg:cNvGrpSpPr/>
                            <wpg:grpSpPr>
                              <a:xfrm>
                                <a:off x="0" y="0"/>
                                <a:ext cx="1990090" cy="2253081"/>
                                <a:chOff x="0" y="0"/>
                                <a:chExt cx="1990344" cy="2322576"/>
                              </a:xfrm>
                            </wpg:grpSpPr>
                            <pic:pic xmlns:pic="http://schemas.openxmlformats.org/drawingml/2006/picture">
                              <pic:nvPicPr>
                                <pic:cNvPr id="28" name="Рисунок 28"/>
                                <pic:cNvPicPr>
                                  <a:picLocks noChangeAspect="1"/>
                                </pic:cNvPicPr>
                              </pic:nvPicPr>
                              <pic:blipFill>
                                <a:blip r:embed="rId37"/>
                                <a:stretch>
                                  <a:fillRect/>
                                </a:stretch>
                              </pic:blipFill>
                              <pic:spPr>
                                <a:xfrm>
                                  <a:off x="0" y="0"/>
                                  <a:ext cx="1990344" cy="2322576"/>
                                </a:xfrm>
                                <a:prstGeom prst="rect">
                                  <a:avLst/>
                                </a:prstGeom>
                              </pic:spPr>
                            </pic:pic>
                            <wps:wsp>
                              <wps:cNvPr id="29" name="Прямоугольник 29"/>
                              <wps:cNvSpPr/>
                              <wps:spPr>
                                <a:xfrm>
                                  <a:off x="15238" y="2203343"/>
                                  <a:ext cx="144780" cy="97155"/>
                                </a:xfrm>
                                <a:prstGeom prst="rect">
                                  <a:avLst/>
                                </a:prstGeom>
                                <a:solidFill>
                                  <a:srgbClr val="FFFFFF"/>
                                </a:solidFill>
                              </wps:spPr>
                              <wps:txbx>
                                <w:txbxContent>
                                  <w:p w14:paraId="1F0D13FF"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0,25</w:t>
                                    </w:r>
                                  </w:p>
                                </w:txbxContent>
                              </wps:txbx>
                              <wps:bodyPr wrap="none" lIns="0" tIns="0" rIns="0" bIns="0">
                                <a:noAutofit/>
                              </wps:bodyPr>
                            </wps:wsp>
                            <wps:wsp>
                              <wps:cNvPr id="30" name="Прямоугольник 30"/>
                              <wps:cNvSpPr/>
                              <wps:spPr>
                                <a:xfrm>
                                  <a:off x="481523" y="2203343"/>
                                  <a:ext cx="103505" cy="106680"/>
                                </a:xfrm>
                                <a:prstGeom prst="rect">
                                  <a:avLst/>
                                </a:prstGeom>
                                <a:solidFill>
                                  <a:srgbClr val="FFFFFF"/>
                                </a:solidFill>
                              </wps:spPr>
                              <wps:txbx>
                                <w:txbxContent>
                                  <w:p w14:paraId="1F0D1400"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0,5</w:t>
                                    </w:r>
                                  </w:p>
                                </w:txbxContent>
                              </wps:txbx>
                              <wps:bodyPr wrap="none" lIns="0" tIns="0" rIns="0" bIns="0">
                                <a:noAutofit/>
                              </wps:bodyPr>
                            </wps:wsp>
                            <wps:wsp>
                              <wps:cNvPr id="31" name="Прямоугольник 31"/>
                              <wps:cNvSpPr/>
                              <wps:spPr>
                                <a:xfrm>
                                  <a:off x="947807" y="2203343"/>
                                  <a:ext cx="103505" cy="97155"/>
                                </a:xfrm>
                                <a:prstGeom prst="rect">
                                  <a:avLst/>
                                </a:prstGeom>
                                <a:solidFill>
                                  <a:srgbClr val="FFFFFF"/>
                                </a:solidFill>
                              </wps:spPr>
                              <wps:txbx>
                                <w:txbxContent>
                                  <w:p w14:paraId="1F0D1401"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1,0</w:t>
                                    </w:r>
                                  </w:p>
                                </w:txbxContent>
                              </wps:txbx>
                              <wps:bodyPr wrap="none" lIns="0" tIns="0" rIns="0" bIns="0">
                                <a:noAutofit/>
                              </wps:bodyPr>
                            </wps:wsp>
                            <wps:wsp>
                              <wps:cNvPr id="32" name="Прямоугольник 32"/>
                              <wps:cNvSpPr/>
                              <wps:spPr>
                                <a:xfrm>
                                  <a:off x="1386663" y="2212485"/>
                                  <a:ext cx="103505" cy="91440"/>
                                </a:xfrm>
                                <a:prstGeom prst="rect">
                                  <a:avLst/>
                                </a:prstGeom>
                                <a:solidFill>
                                  <a:srgbClr val="FFFFFF"/>
                                </a:solidFill>
                              </wps:spPr>
                              <wps:txbx>
                                <w:txbxContent>
                                  <w:p w14:paraId="1F0D1402"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2,0</w:t>
                                    </w:r>
                                  </w:p>
                                </w:txbxContent>
                              </wps:txbx>
                              <wps:bodyPr wrap="none" lIns="0" tIns="0" rIns="0" bIns="0">
                                <a:noAutofit/>
                              </wps:bodyPr>
                            </wps:wsp>
                            <wps:wsp>
                              <wps:cNvPr id="33" name="Прямоугольник 33"/>
                              <wps:cNvSpPr/>
                              <wps:spPr>
                                <a:xfrm>
                                  <a:off x="1852948" y="2203343"/>
                                  <a:ext cx="103505" cy="100330"/>
                                </a:xfrm>
                                <a:prstGeom prst="rect">
                                  <a:avLst/>
                                </a:prstGeom>
                                <a:solidFill>
                                  <a:srgbClr val="FFFFFF"/>
                                </a:solidFill>
                              </wps:spPr>
                              <wps:txbx>
                                <w:txbxContent>
                                  <w:p w14:paraId="1F0D1403"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4,0</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D13C5" id="Группа 7" o:spid="_x0000_s1038" style="position:absolute;left:0;text-align:left;margin-left:165.65pt;margin-top:35.7pt;width:156.7pt;height:177.4pt;z-index:-251655168;mso-position-horizontal-relative:text;mso-position-vertical-relative:text;mso-width-relative:margin;mso-height-relative:margin" coordsize="19903,2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">
                      <v:shape id="Рисунок 28" o:spid="_x0000_s1039" type="#_x0000_t75" style="position:absolute;width:19903;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">
                        <v:imagedata r:id="rId38" o:title=""/>
                      </v:shape>
                      <v:rect id="Прямоугольник 29" o:spid="_x0000_s1040" style="position:absolute;left:152;top:22033;width:1448;height: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" stroked="f">
                        <v:textbox inset="0,0,0,0">
                          <w:txbxContent>
                            <w:p w14:paraId="1F0D13FF"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0,25</w:t>
                              </w:r>
                            </w:p>
                          </w:txbxContent>
                        </v:textbox>
                      </v:rect>
                      <v:rect id="Прямоугольник 30" o:spid="_x0000_s1041" style="position:absolute;left:4815;top:22033;width:1035;height:1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" stroked="f">
                        <v:textbox inset="0,0,0,0">
                          <w:txbxContent>
                            <w:p w14:paraId="1F0D1400"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0,5</w:t>
                              </w:r>
                            </w:p>
                          </w:txbxContent>
                        </v:textbox>
                      </v:rect>
                      <v:rect id="Прямоугольник 31" o:spid="_x0000_s1042" style="position:absolute;left:9478;top:22033;width:1035;height: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" stroked="f">
                        <v:textbox inset="0,0,0,0">
                          <w:txbxContent>
                            <w:p w14:paraId="1F0D1401"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1,0</w:t>
                              </w:r>
                            </w:p>
                          </w:txbxContent>
                        </v:textbox>
                      </v:rect>
                      <v:rect id="Прямоугольник 32" o:spid="_x0000_s1043" style="position:absolute;left:13866;top:22124;width:1035;height: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" stroked="f">
                        <v:textbox inset="0,0,0,0">
                          <w:txbxContent>
                            <w:p w14:paraId="1F0D1402"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2,0</w:t>
                              </w:r>
                            </w:p>
                          </w:txbxContent>
                        </v:textbox>
                      </v:rect>
                      <v:rect id="Прямоугольник 33" o:spid="_x0000_s1044" style="position:absolute;left:18529;top:22033;width:1035;height:1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" stroked="f">
                        <v:textbox inset="0,0,0,0">
                          <w:txbxContent>
                            <w:p w14:paraId="1F0D1403"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4,0</w:t>
                              </w:r>
                            </w:p>
                          </w:txbxContent>
                        </v:textbox>
                      </v:rect>
                    </v:group>
                  </w:pict>
                </mc:Fallback>
              </mc:AlternateContent>
            </w:r>
          </w:p>
          <w:tbl>
            <w:tblPr>
              <w:tblOverlap w:val="never"/>
              <w:tblW w:w="0" w:type="auto"/>
              <w:jc w:val="center"/>
              <w:tblCellMar>
                <w:top w:w="17" w:type="dxa"/>
                <w:left w:w="17" w:type="dxa"/>
                <w:bottom w:w="17" w:type="dxa"/>
                <w:right w:w="17" w:type="dxa"/>
              </w:tblCellMar>
              <w:tblLook w:val="0000" w:firstRow="0" w:lastRow="0" w:firstColumn="0" w:lastColumn="0" w:noHBand="0" w:noVBand="0"/>
            </w:tblPr>
            <w:tblGrid>
              <w:gridCol w:w="989"/>
              <w:gridCol w:w="460"/>
              <w:gridCol w:w="2335"/>
              <w:gridCol w:w="1330"/>
              <w:gridCol w:w="667"/>
            </w:tblGrid>
            <w:tr w:rsidR="00EF675A" w:rsidRPr="00B45667" w14:paraId="1F0D1211" w14:textId="77777777" w:rsidTr="00EF675A">
              <w:trPr>
                <w:trHeight w:val="170"/>
                <w:jc w:val="center"/>
              </w:trPr>
              <w:tc>
                <w:tcPr>
                  <w:tcW w:w="989" w:type="dxa"/>
                  <w:tcBorders>
                    <w:bottom w:val="single" w:sz="4" w:space="0" w:color="BFBFBF" w:themeColor="background1" w:themeShade="BF"/>
                  </w:tcBorders>
                  <w:shd w:val="clear" w:color="auto" w:fill="auto"/>
                  <w:vAlign w:val="center"/>
                </w:tcPr>
                <w:p w14:paraId="1F0D120C" w14:textId="77777777" w:rsidR="00074A29" w:rsidRPr="00B45667" w:rsidRDefault="00074A29" w:rsidP="00074A29">
                  <w:pPr>
                    <w:pStyle w:val="a4"/>
                    <w:shd w:val="clear" w:color="auto" w:fill="auto"/>
                    <w:spacing w:line="240" w:lineRule="auto"/>
                    <w:rPr>
                      <w:rFonts w:cs="Times New Roman"/>
                    </w:rPr>
                  </w:pPr>
                  <w:r w:rsidRPr="00B45667">
                    <w:rPr>
                      <w:rFonts w:eastAsia="Times New Roman" w:cs="Times New Roman"/>
                      <w:b/>
                      <w:lang w:bidi="ru-RU"/>
                    </w:rPr>
                    <w:t>Автор</w:t>
                  </w:r>
                </w:p>
              </w:tc>
              <w:tc>
                <w:tcPr>
                  <w:tcW w:w="460" w:type="dxa"/>
                  <w:tcBorders>
                    <w:bottom w:val="single" w:sz="4" w:space="0" w:color="BFBFBF" w:themeColor="background1" w:themeShade="BF"/>
                  </w:tcBorders>
                  <w:shd w:val="clear" w:color="auto" w:fill="auto"/>
                  <w:vAlign w:val="center"/>
                </w:tcPr>
                <w:p w14:paraId="1F0D120D" w14:textId="77777777" w:rsidR="00074A29" w:rsidRPr="00B45667" w:rsidRDefault="00074A29" w:rsidP="00074A29">
                  <w:pPr>
                    <w:pStyle w:val="a4"/>
                    <w:shd w:val="clear" w:color="auto" w:fill="auto"/>
                    <w:spacing w:line="240" w:lineRule="auto"/>
                    <w:rPr>
                      <w:rFonts w:cs="Times New Roman"/>
                    </w:rPr>
                  </w:pPr>
                  <w:r w:rsidRPr="00B45667">
                    <w:rPr>
                      <w:rFonts w:eastAsia="Times New Roman" w:cs="Times New Roman"/>
                      <w:b/>
                      <w:lang w:bidi="ru-RU"/>
                    </w:rPr>
                    <w:t>Год</w:t>
                  </w:r>
                </w:p>
              </w:tc>
              <w:tc>
                <w:tcPr>
                  <w:tcW w:w="2335" w:type="dxa"/>
                  <w:tcBorders>
                    <w:bottom w:val="single" w:sz="4" w:space="0" w:color="BFBFBF" w:themeColor="background1" w:themeShade="BF"/>
                  </w:tcBorders>
                  <w:shd w:val="clear" w:color="auto" w:fill="auto"/>
                  <w:vAlign w:val="center"/>
                </w:tcPr>
                <w:p w14:paraId="1F0D120E" w14:textId="77777777" w:rsidR="00074A29" w:rsidRPr="00B45667" w:rsidRDefault="00074A29" w:rsidP="00074A29">
                  <w:pPr>
                    <w:rPr>
                      <w:rFonts w:cs="Times New Roman"/>
                      <w:sz w:val="13"/>
                      <w:szCs w:val="13"/>
                    </w:rPr>
                  </w:pPr>
                </w:p>
              </w:tc>
              <w:tc>
                <w:tcPr>
                  <w:tcW w:w="1330" w:type="dxa"/>
                  <w:tcBorders>
                    <w:bottom w:val="single" w:sz="4" w:space="0" w:color="BFBFBF" w:themeColor="background1" w:themeShade="BF"/>
                  </w:tcBorders>
                  <w:shd w:val="clear" w:color="auto" w:fill="auto"/>
                  <w:vAlign w:val="center"/>
                </w:tcPr>
                <w:p w14:paraId="1F0D120F"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b/>
                      <w:lang w:bidi="ru-RU"/>
                    </w:rPr>
                    <w:t>ОР (95 % ДИ)</w:t>
                  </w:r>
                </w:p>
              </w:tc>
              <w:tc>
                <w:tcPr>
                  <w:tcW w:w="667" w:type="dxa"/>
                  <w:tcBorders>
                    <w:bottom w:val="single" w:sz="4" w:space="0" w:color="BFBFBF" w:themeColor="background1" w:themeShade="BF"/>
                  </w:tcBorders>
                  <w:shd w:val="clear" w:color="auto" w:fill="auto"/>
                  <w:vAlign w:val="center"/>
                </w:tcPr>
                <w:p w14:paraId="1F0D1210"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b/>
                      <w:lang w:bidi="ru-RU"/>
                    </w:rPr>
                    <w:t>Вес, %</w:t>
                  </w:r>
                </w:p>
              </w:tc>
            </w:tr>
            <w:tr w:rsidR="00EF675A" w:rsidRPr="00B45667" w14:paraId="1F0D1216" w14:textId="77777777" w:rsidTr="00EF675A">
              <w:trPr>
                <w:trHeight w:val="227"/>
                <w:jc w:val="center"/>
              </w:trPr>
              <w:tc>
                <w:tcPr>
                  <w:tcW w:w="1449" w:type="dxa"/>
                  <w:gridSpan w:val="2"/>
                  <w:tcBorders>
                    <w:top w:val="single" w:sz="4" w:space="0" w:color="BFBFBF" w:themeColor="background1" w:themeShade="BF"/>
                  </w:tcBorders>
                  <w:shd w:val="clear" w:color="auto" w:fill="auto"/>
                </w:tcPr>
                <w:p w14:paraId="1F0D1212" w14:textId="400338E3" w:rsidR="00074A29" w:rsidRPr="00B45667" w:rsidRDefault="00074A29" w:rsidP="00EF675A">
                  <w:pPr>
                    <w:pStyle w:val="a4"/>
                    <w:shd w:val="clear" w:color="auto" w:fill="auto"/>
                    <w:spacing w:before="60" w:line="240" w:lineRule="auto"/>
                    <w:rPr>
                      <w:rFonts w:cs="Times New Roman"/>
                    </w:rPr>
                  </w:pPr>
                  <w:r w:rsidRPr="00B45667">
                    <w:rPr>
                      <w:rFonts w:eastAsia="Times New Roman" w:cs="Times New Roman"/>
                      <w:b/>
                      <w:lang w:bidi="ru-RU"/>
                    </w:rPr>
                    <w:t xml:space="preserve">Самая высокая </w:t>
                  </w:r>
                  <w:r w:rsidRPr="00B45667">
                    <w:rPr>
                      <w:rFonts w:eastAsia="Times New Roman" w:cs="Times New Roman"/>
                      <w:b/>
                      <w:i/>
                      <w:lang w:bidi="ru-RU"/>
                    </w:rPr>
                    <w:t>по сравнению с</w:t>
                  </w:r>
                  <w:r w:rsidRPr="00B45667">
                    <w:rPr>
                      <w:rFonts w:eastAsia="Times New Roman" w:cs="Times New Roman"/>
                      <w:b/>
                      <w:lang w:bidi="ru-RU"/>
                    </w:rPr>
                    <w:t xml:space="preserve"> самой низкой</w:t>
                  </w:r>
                </w:p>
              </w:tc>
              <w:tc>
                <w:tcPr>
                  <w:tcW w:w="2335" w:type="dxa"/>
                  <w:tcBorders>
                    <w:top w:val="single" w:sz="4" w:space="0" w:color="BFBFBF" w:themeColor="background1" w:themeShade="BF"/>
                  </w:tcBorders>
                  <w:shd w:val="clear" w:color="auto" w:fill="auto"/>
                </w:tcPr>
                <w:p w14:paraId="1F0D1213" w14:textId="77777777" w:rsidR="00074A29" w:rsidRPr="00B45667" w:rsidRDefault="00074A29" w:rsidP="00EF675A">
                  <w:pPr>
                    <w:spacing w:before="60"/>
                    <w:rPr>
                      <w:rFonts w:cs="Times New Roman"/>
                      <w:sz w:val="13"/>
                      <w:szCs w:val="13"/>
                    </w:rPr>
                  </w:pPr>
                </w:p>
              </w:tc>
              <w:tc>
                <w:tcPr>
                  <w:tcW w:w="1330" w:type="dxa"/>
                  <w:tcBorders>
                    <w:top w:val="single" w:sz="4" w:space="0" w:color="BFBFBF" w:themeColor="background1" w:themeShade="BF"/>
                  </w:tcBorders>
                  <w:shd w:val="clear" w:color="auto" w:fill="auto"/>
                  <w:vAlign w:val="center"/>
                </w:tcPr>
                <w:p w14:paraId="1F0D1214" w14:textId="77777777" w:rsidR="00074A29" w:rsidRPr="00B45667" w:rsidRDefault="00074A29" w:rsidP="00074A29">
                  <w:pPr>
                    <w:rPr>
                      <w:rFonts w:cs="Times New Roman"/>
                      <w:sz w:val="13"/>
                      <w:szCs w:val="13"/>
                    </w:rPr>
                  </w:pPr>
                </w:p>
              </w:tc>
              <w:tc>
                <w:tcPr>
                  <w:tcW w:w="667" w:type="dxa"/>
                  <w:tcBorders>
                    <w:top w:val="single" w:sz="4" w:space="0" w:color="BFBFBF" w:themeColor="background1" w:themeShade="BF"/>
                  </w:tcBorders>
                  <w:shd w:val="clear" w:color="auto" w:fill="auto"/>
                  <w:vAlign w:val="center"/>
                </w:tcPr>
                <w:p w14:paraId="1F0D1215" w14:textId="77777777" w:rsidR="00074A29" w:rsidRPr="00B45667" w:rsidRDefault="00074A29" w:rsidP="00074A29">
                  <w:pPr>
                    <w:rPr>
                      <w:rFonts w:cs="Times New Roman"/>
                      <w:sz w:val="13"/>
                      <w:szCs w:val="13"/>
                    </w:rPr>
                  </w:pPr>
                </w:p>
              </w:tc>
            </w:tr>
            <w:tr w:rsidR="00EF675A" w:rsidRPr="00B45667" w14:paraId="1F0D121C" w14:textId="77777777" w:rsidTr="00EF675A">
              <w:trPr>
                <w:trHeight w:val="147"/>
                <w:jc w:val="center"/>
              </w:trPr>
              <w:tc>
                <w:tcPr>
                  <w:tcW w:w="989" w:type="dxa"/>
                  <w:shd w:val="clear" w:color="auto" w:fill="auto"/>
                </w:tcPr>
                <w:p w14:paraId="1F0D1217"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Gartside</w:t>
                  </w:r>
                </w:p>
              </w:tc>
              <w:tc>
                <w:tcPr>
                  <w:tcW w:w="460" w:type="dxa"/>
                  <w:shd w:val="clear" w:color="auto" w:fill="auto"/>
                </w:tcPr>
                <w:p w14:paraId="1F0D1218"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1995</w:t>
                  </w:r>
                </w:p>
              </w:tc>
              <w:tc>
                <w:tcPr>
                  <w:tcW w:w="2335" w:type="dxa"/>
                  <w:shd w:val="clear" w:color="auto" w:fill="auto"/>
                </w:tcPr>
                <w:p w14:paraId="1F0D1219" w14:textId="77777777" w:rsidR="00074A29" w:rsidRPr="00B45667" w:rsidRDefault="00074A29" w:rsidP="00EF675A">
                  <w:pPr>
                    <w:rPr>
                      <w:rFonts w:cs="Times New Roman"/>
                      <w:sz w:val="13"/>
                      <w:szCs w:val="13"/>
                    </w:rPr>
                  </w:pPr>
                </w:p>
              </w:tc>
              <w:tc>
                <w:tcPr>
                  <w:tcW w:w="1330" w:type="dxa"/>
                  <w:shd w:val="clear" w:color="auto" w:fill="auto"/>
                  <w:vAlign w:val="center"/>
                </w:tcPr>
                <w:p w14:paraId="1F0D121A"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0,68 (0,54‒0,86)</w:t>
                  </w:r>
                </w:p>
              </w:tc>
              <w:tc>
                <w:tcPr>
                  <w:tcW w:w="667" w:type="dxa"/>
                  <w:shd w:val="clear" w:color="auto" w:fill="auto"/>
                  <w:vAlign w:val="center"/>
                </w:tcPr>
                <w:p w14:paraId="1F0D121B"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20,62</w:t>
                  </w:r>
                </w:p>
              </w:tc>
            </w:tr>
            <w:tr w:rsidR="00EF675A" w:rsidRPr="00B45667" w14:paraId="1F0D1222" w14:textId="77777777" w:rsidTr="00EF675A">
              <w:trPr>
                <w:trHeight w:val="147"/>
                <w:jc w:val="center"/>
              </w:trPr>
              <w:tc>
                <w:tcPr>
                  <w:tcW w:w="989" w:type="dxa"/>
                  <w:shd w:val="clear" w:color="auto" w:fill="auto"/>
                </w:tcPr>
                <w:p w14:paraId="1F0D121D"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Liao_женщины</w:t>
                  </w:r>
                </w:p>
              </w:tc>
              <w:tc>
                <w:tcPr>
                  <w:tcW w:w="460" w:type="dxa"/>
                  <w:shd w:val="clear" w:color="auto" w:fill="auto"/>
                </w:tcPr>
                <w:p w14:paraId="1F0D121E"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1998</w:t>
                  </w:r>
                </w:p>
              </w:tc>
              <w:tc>
                <w:tcPr>
                  <w:tcW w:w="2335" w:type="dxa"/>
                  <w:shd w:val="clear" w:color="auto" w:fill="auto"/>
                </w:tcPr>
                <w:p w14:paraId="1F0D121F" w14:textId="77777777" w:rsidR="00074A29" w:rsidRPr="00B45667" w:rsidRDefault="00074A29" w:rsidP="00EF675A">
                  <w:pPr>
                    <w:rPr>
                      <w:rFonts w:cs="Times New Roman"/>
                      <w:sz w:val="13"/>
                      <w:szCs w:val="13"/>
                    </w:rPr>
                  </w:pPr>
                </w:p>
              </w:tc>
              <w:tc>
                <w:tcPr>
                  <w:tcW w:w="1330" w:type="dxa"/>
                  <w:shd w:val="clear" w:color="auto" w:fill="auto"/>
                  <w:vAlign w:val="center"/>
                </w:tcPr>
                <w:p w14:paraId="1F0D1220"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0,55 (0,27‒1,13)</w:t>
                  </w:r>
                </w:p>
              </w:tc>
              <w:tc>
                <w:tcPr>
                  <w:tcW w:w="667" w:type="dxa"/>
                  <w:shd w:val="clear" w:color="auto" w:fill="auto"/>
                  <w:vAlign w:val="center"/>
                </w:tcPr>
                <w:p w14:paraId="1F0D1221"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3,80</w:t>
                  </w:r>
                </w:p>
              </w:tc>
            </w:tr>
            <w:tr w:rsidR="00EF675A" w:rsidRPr="00B45667" w14:paraId="1F0D1228" w14:textId="77777777" w:rsidTr="00EF675A">
              <w:trPr>
                <w:trHeight w:val="147"/>
                <w:jc w:val="center"/>
              </w:trPr>
              <w:tc>
                <w:tcPr>
                  <w:tcW w:w="989" w:type="dxa"/>
                  <w:shd w:val="clear" w:color="auto" w:fill="auto"/>
                </w:tcPr>
                <w:p w14:paraId="1F0D1223"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Liao_мужчины</w:t>
                  </w:r>
                </w:p>
              </w:tc>
              <w:tc>
                <w:tcPr>
                  <w:tcW w:w="460" w:type="dxa"/>
                  <w:shd w:val="clear" w:color="auto" w:fill="auto"/>
                </w:tcPr>
                <w:p w14:paraId="1F0D1224"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1998</w:t>
                  </w:r>
                </w:p>
              </w:tc>
              <w:tc>
                <w:tcPr>
                  <w:tcW w:w="2335" w:type="dxa"/>
                  <w:shd w:val="clear" w:color="auto" w:fill="auto"/>
                </w:tcPr>
                <w:p w14:paraId="1F0D1225" w14:textId="77777777" w:rsidR="00074A29" w:rsidRPr="00B45667" w:rsidRDefault="00074A29" w:rsidP="00EF675A">
                  <w:pPr>
                    <w:rPr>
                      <w:rFonts w:cs="Times New Roman"/>
                      <w:sz w:val="13"/>
                      <w:szCs w:val="13"/>
                    </w:rPr>
                  </w:pPr>
                </w:p>
              </w:tc>
              <w:tc>
                <w:tcPr>
                  <w:tcW w:w="1330" w:type="dxa"/>
                  <w:shd w:val="clear" w:color="auto" w:fill="auto"/>
                  <w:vAlign w:val="center"/>
                </w:tcPr>
                <w:p w14:paraId="1F0D1226"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0,84 (0,53‒1,32)</w:t>
                  </w:r>
                </w:p>
              </w:tc>
              <w:tc>
                <w:tcPr>
                  <w:tcW w:w="667" w:type="dxa"/>
                  <w:shd w:val="clear" w:color="auto" w:fill="auto"/>
                  <w:vAlign w:val="center"/>
                </w:tcPr>
                <w:p w14:paraId="1F0D1227"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8,53</w:t>
                  </w:r>
                </w:p>
              </w:tc>
            </w:tr>
            <w:tr w:rsidR="00EF675A" w:rsidRPr="00B45667" w14:paraId="1F0D122E" w14:textId="77777777" w:rsidTr="00EF675A">
              <w:trPr>
                <w:trHeight w:val="147"/>
                <w:jc w:val="center"/>
              </w:trPr>
              <w:tc>
                <w:tcPr>
                  <w:tcW w:w="989" w:type="dxa"/>
                  <w:shd w:val="clear" w:color="auto" w:fill="auto"/>
                </w:tcPr>
                <w:p w14:paraId="1F0D1229"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Ford</w:t>
                  </w:r>
                </w:p>
              </w:tc>
              <w:tc>
                <w:tcPr>
                  <w:tcW w:w="460" w:type="dxa"/>
                  <w:shd w:val="clear" w:color="auto" w:fill="auto"/>
                </w:tcPr>
                <w:p w14:paraId="1F0D122A"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1999</w:t>
                  </w:r>
                </w:p>
              </w:tc>
              <w:tc>
                <w:tcPr>
                  <w:tcW w:w="2335" w:type="dxa"/>
                  <w:shd w:val="clear" w:color="auto" w:fill="auto"/>
                </w:tcPr>
                <w:p w14:paraId="1F0D122B" w14:textId="77777777" w:rsidR="00074A29" w:rsidRPr="00B45667" w:rsidRDefault="00074A29" w:rsidP="00EF675A">
                  <w:pPr>
                    <w:pStyle w:val="a4"/>
                    <w:shd w:val="clear" w:color="auto" w:fill="auto"/>
                    <w:spacing w:line="240" w:lineRule="auto"/>
                    <w:rPr>
                      <w:rFonts w:cs="Times New Roman"/>
                    </w:rPr>
                  </w:pPr>
                </w:p>
              </w:tc>
              <w:tc>
                <w:tcPr>
                  <w:tcW w:w="1330" w:type="dxa"/>
                  <w:shd w:val="clear" w:color="auto" w:fill="auto"/>
                  <w:vAlign w:val="center"/>
                </w:tcPr>
                <w:p w14:paraId="1F0D122C"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0,92 (0,79‒1,07)</w:t>
                  </w:r>
                </w:p>
              </w:tc>
              <w:tc>
                <w:tcPr>
                  <w:tcW w:w="667" w:type="dxa"/>
                  <w:shd w:val="clear" w:color="auto" w:fill="auto"/>
                  <w:vAlign w:val="center"/>
                </w:tcPr>
                <w:p w14:paraId="1F0D122D"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30,53</w:t>
                  </w:r>
                </w:p>
              </w:tc>
            </w:tr>
            <w:tr w:rsidR="00EF675A" w:rsidRPr="00B45667" w14:paraId="1F0D1234" w14:textId="77777777" w:rsidTr="00EF675A">
              <w:trPr>
                <w:trHeight w:val="147"/>
                <w:jc w:val="center"/>
              </w:trPr>
              <w:tc>
                <w:tcPr>
                  <w:tcW w:w="989" w:type="dxa"/>
                  <w:shd w:val="clear" w:color="auto" w:fill="auto"/>
                </w:tcPr>
                <w:p w14:paraId="1F0D122F"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Khan</w:t>
                  </w:r>
                </w:p>
              </w:tc>
              <w:tc>
                <w:tcPr>
                  <w:tcW w:w="460" w:type="dxa"/>
                  <w:shd w:val="clear" w:color="auto" w:fill="auto"/>
                </w:tcPr>
                <w:p w14:paraId="1F0D1230"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2010</w:t>
                  </w:r>
                </w:p>
              </w:tc>
              <w:tc>
                <w:tcPr>
                  <w:tcW w:w="2335" w:type="dxa"/>
                  <w:shd w:val="clear" w:color="auto" w:fill="auto"/>
                </w:tcPr>
                <w:p w14:paraId="1F0D1231" w14:textId="77777777" w:rsidR="00074A29" w:rsidRPr="00B45667" w:rsidRDefault="00074A29" w:rsidP="00EF675A">
                  <w:pPr>
                    <w:rPr>
                      <w:rFonts w:cs="Times New Roman"/>
                      <w:sz w:val="13"/>
                      <w:szCs w:val="13"/>
                    </w:rPr>
                  </w:pPr>
                </w:p>
              </w:tc>
              <w:tc>
                <w:tcPr>
                  <w:tcW w:w="1330" w:type="dxa"/>
                  <w:shd w:val="clear" w:color="auto" w:fill="auto"/>
                  <w:vAlign w:val="center"/>
                </w:tcPr>
                <w:p w14:paraId="1F0D1232"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0,91 (0,71‒1,16)</w:t>
                  </w:r>
                </w:p>
              </w:tc>
              <w:tc>
                <w:tcPr>
                  <w:tcW w:w="667" w:type="dxa"/>
                  <w:shd w:val="clear" w:color="auto" w:fill="auto"/>
                  <w:vAlign w:val="center"/>
                </w:tcPr>
                <w:p w14:paraId="1F0D1233"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20,22</w:t>
                  </w:r>
                </w:p>
              </w:tc>
            </w:tr>
            <w:tr w:rsidR="00EF675A" w:rsidRPr="00B45667" w14:paraId="1F0D123A" w14:textId="77777777" w:rsidTr="00EF675A">
              <w:trPr>
                <w:trHeight w:val="147"/>
                <w:jc w:val="center"/>
              </w:trPr>
              <w:tc>
                <w:tcPr>
                  <w:tcW w:w="989" w:type="dxa"/>
                  <w:shd w:val="clear" w:color="auto" w:fill="auto"/>
                </w:tcPr>
                <w:p w14:paraId="1F0D1235"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Joosten</w:t>
                  </w:r>
                </w:p>
              </w:tc>
              <w:tc>
                <w:tcPr>
                  <w:tcW w:w="460" w:type="dxa"/>
                  <w:shd w:val="clear" w:color="auto" w:fill="auto"/>
                </w:tcPr>
                <w:p w14:paraId="1F0D1236"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2013</w:t>
                  </w:r>
                </w:p>
              </w:tc>
              <w:tc>
                <w:tcPr>
                  <w:tcW w:w="2335" w:type="dxa"/>
                  <w:shd w:val="clear" w:color="auto" w:fill="auto"/>
                </w:tcPr>
                <w:p w14:paraId="1F0D1237" w14:textId="77777777" w:rsidR="00074A29" w:rsidRPr="00B45667" w:rsidRDefault="00074A29" w:rsidP="00EF675A">
                  <w:pPr>
                    <w:rPr>
                      <w:rFonts w:cs="Times New Roman"/>
                      <w:sz w:val="13"/>
                      <w:szCs w:val="13"/>
                    </w:rPr>
                  </w:pPr>
                </w:p>
              </w:tc>
              <w:tc>
                <w:tcPr>
                  <w:tcW w:w="1330" w:type="dxa"/>
                  <w:shd w:val="clear" w:color="auto" w:fill="auto"/>
                  <w:vAlign w:val="center"/>
                </w:tcPr>
                <w:p w14:paraId="1F0D1238"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1,07 (0,80‒1,43)</w:t>
                  </w:r>
                </w:p>
              </w:tc>
              <w:tc>
                <w:tcPr>
                  <w:tcW w:w="667" w:type="dxa"/>
                  <w:shd w:val="clear" w:color="auto" w:fill="auto"/>
                  <w:vAlign w:val="center"/>
                </w:tcPr>
                <w:p w14:paraId="1F0D1239"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16,32</w:t>
                  </w:r>
                </w:p>
              </w:tc>
            </w:tr>
            <w:tr w:rsidR="00EF675A" w:rsidRPr="00B45667" w14:paraId="1F0D123F" w14:textId="77777777" w:rsidTr="00EF675A">
              <w:trPr>
                <w:trHeight w:val="147"/>
                <w:jc w:val="center"/>
              </w:trPr>
              <w:tc>
                <w:tcPr>
                  <w:tcW w:w="989" w:type="dxa"/>
                  <w:shd w:val="clear" w:color="auto" w:fill="auto"/>
                </w:tcPr>
                <w:p w14:paraId="1F0D123B" w14:textId="77777777" w:rsidR="00EF675A" w:rsidRPr="00B45667" w:rsidRDefault="00EF675A" w:rsidP="00EF675A">
                  <w:pPr>
                    <w:pStyle w:val="a4"/>
                    <w:shd w:val="clear" w:color="auto" w:fill="auto"/>
                    <w:spacing w:line="240" w:lineRule="auto"/>
                    <w:rPr>
                      <w:rFonts w:cs="Times New Roman"/>
                    </w:rPr>
                  </w:pPr>
                  <w:r w:rsidRPr="00B45667">
                    <w:rPr>
                      <w:rFonts w:eastAsia="Times New Roman" w:cs="Times New Roman"/>
                      <w:lang w:bidi="ru-RU"/>
                    </w:rPr>
                    <w:t>Неоднородность</w:t>
                  </w:r>
                </w:p>
              </w:tc>
              <w:tc>
                <w:tcPr>
                  <w:tcW w:w="2795" w:type="dxa"/>
                  <w:gridSpan w:val="2"/>
                  <w:shd w:val="clear" w:color="auto" w:fill="auto"/>
                </w:tcPr>
                <w:p w14:paraId="1F0D123C" w14:textId="77777777" w:rsidR="00EF675A" w:rsidRPr="00B45667" w:rsidRDefault="00EF675A" w:rsidP="00EF675A">
                  <w:pPr>
                    <w:pStyle w:val="a4"/>
                    <w:shd w:val="clear" w:color="auto" w:fill="auto"/>
                    <w:spacing w:line="240" w:lineRule="auto"/>
                    <w:rPr>
                      <w:rFonts w:cs="Times New Roman"/>
                    </w:rPr>
                  </w:pPr>
                  <w:r w:rsidRPr="00B45667">
                    <w:rPr>
                      <w:rFonts w:eastAsia="Times New Roman" w:cs="Times New Roman"/>
                      <w:lang w:bidi="ru-RU"/>
                    </w:rPr>
                    <w:t>(</w:t>
                  </w:r>
                  <w:r w:rsidRPr="00B45667">
                    <w:rPr>
                      <w:rFonts w:eastAsia="Times New Roman" w:cs="Times New Roman"/>
                      <w:i/>
                      <w:lang w:bidi="ru-RU"/>
                    </w:rPr>
                    <w:t>I</w:t>
                  </w:r>
                  <w:r w:rsidRPr="00B45667">
                    <w:rPr>
                      <w:rFonts w:eastAsia="Times New Roman" w:cs="Times New Roman"/>
                      <w:vertAlign w:val="superscript"/>
                      <w:lang w:bidi="ru-RU"/>
                    </w:rPr>
                    <w:t>2 </w:t>
                  </w:r>
                  <w:r w:rsidRPr="00B45667">
                    <w:rPr>
                      <w:rFonts w:eastAsia="Times New Roman" w:cs="Times New Roman"/>
                      <w:lang w:bidi="ru-RU"/>
                    </w:rPr>
                    <w:t xml:space="preserve">= 39,6 %, </w:t>
                  </w:r>
                  <w:r w:rsidRPr="00B45667">
                    <w:rPr>
                      <w:rFonts w:eastAsia="Times New Roman" w:cs="Times New Roman"/>
                      <w:i/>
                      <w:lang w:bidi="ru-RU"/>
                    </w:rPr>
                    <w:t>P</w:t>
                  </w:r>
                  <w:r w:rsidRPr="00B45667">
                    <w:rPr>
                      <w:rFonts w:eastAsia="Times New Roman" w:cs="Times New Roman"/>
                      <w:lang w:bidi="ru-RU"/>
                    </w:rPr>
                    <w:t> = 0,14)</w:t>
                  </w:r>
                </w:p>
              </w:tc>
              <w:tc>
                <w:tcPr>
                  <w:tcW w:w="1330" w:type="dxa"/>
                  <w:shd w:val="clear" w:color="auto" w:fill="auto"/>
                  <w:vAlign w:val="center"/>
                </w:tcPr>
                <w:p w14:paraId="1F0D123D" w14:textId="77777777" w:rsidR="00EF675A" w:rsidRPr="00B45667" w:rsidRDefault="00EF675A" w:rsidP="00074A29">
                  <w:pPr>
                    <w:pStyle w:val="a4"/>
                    <w:shd w:val="clear" w:color="auto" w:fill="auto"/>
                    <w:spacing w:line="240" w:lineRule="auto"/>
                    <w:jc w:val="center"/>
                    <w:rPr>
                      <w:rFonts w:cs="Times New Roman"/>
                    </w:rPr>
                  </w:pPr>
                  <w:r w:rsidRPr="00B45667">
                    <w:rPr>
                      <w:rFonts w:eastAsia="Times New Roman" w:cs="Times New Roman"/>
                      <w:b/>
                      <w:lang w:bidi="ru-RU"/>
                    </w:rPr>
                    <w:t>0,86 (0,74‒0,996)</w:t>
                  </w:r>
                </w:p>
              </w:tc>
              <w:tc>
                <w:tcPr>
                  <w:tcW w:w="667" w:type="dxa"/>
                  <w:shd w:val="clear" w:color="auto" w:fill="auto"/>
                  <w:vAlign w:val="center"/>
                </w:tcPr>
                <w:p w14:paraId="1F0D123E" w14:textId="77777777" w:rsidR="00EF675A" w:rsidRPr="00B45667" w:rsidRDefault="00EF675A" w:rsidP="00074A29">
                  <w:pPr>
                    <w:pStyle w:val="a4"/>
                    <w:shd w:val="clear" w:color="auto" w:fill="auto"/>
                    <w:spacing w:line="240" w:lineRule="auto"/>
                    <w:jc w:val="right"/>
                    <w:rPr>
                      <w:rFonts w:cs="Times New Roman"/>
                    </w:rPr>
                  </w:pPr>
                  <w:r w:rsidRPr="00B45667">
                    <w:rPr>
                      <w:rFonts w:eastAsia="Times New Roman" w:cs="Times New Roman"/>
                      <w:b/>
                      <w:lang w:bidi="ru-RU"/>
                    </w:rPr>
                    <w:t>100,00</w:t>
                  </w:r>
                </w:p>
              </w:tc>
            </w:tr>
            <w:tr w:rsidR="00EF675A" w:rsidRPr="00B45667" w14:paraId="1F0D1244" w14:textId="77777777" w:rsidTr="00EF675A">
              <w:trPr>
                <w:trHeight w:val="147"/>
                <w:jc w:val="center"/>
              </w:trPr>
              <w:tc>
                <w:tcPr>
                  <w:tcW w:w="1449" w:type="dxa"/>
                  <w:gridSpan w:val="2"/>
                  <w:shd w:val="clear" w:color="auto" w:fill="auto"/>
                </w:tcPr>
                <w:p w14:paraId="1F0D1240" w14:textId="77777777" w:rsidR="00074A29" w:rsidRPr="00B45667" w:rsidRDefault="00074A29" w:rsidP="00EF675A">
                  <w:pPr>
                    <w:rPr>
                      <w:rFonts w:cs="Times New Roman"/>
                      <w:sz w:val="13"/>
                      <w:szCs w:val="13"/>
                    </w:rPr>
                  </w:pPr>
                </w:p>
              </w:tc>
              <w:tc>
                <w:tcPr>
                  <w:tcW w:w="2335" w:type="dxa"/>
                  <w:shd w:val="clear" w:color="auto" w:fill="auto"/>
                </w:tcPr>
                <w:p w14:paraId="1F0D1241" w14:textId="77777777" w:rsidR="00074A29" w:rsidRPr="00B45667" w:rsidRDefault="00074A29" w:rsidP="00EF675A">
                  <w:pPr>
                    <w:rPr>
                      <w:rFonts w:cs="Times New Roman"/>
                      <w:sz w:val="13"/>
                      <w:szCs w:val="13"/>
                    </w:rPr>
                  </w:pPr>
                </w:p>
              </w:tc>
              <w:tc>
                <w:tcPr>
                  <w:tcW w:w="1330" w:type="dxa"/>
                  <w:shd w:val="clear" w:color="auto" w:fill="auto"/>
                  <w:vAlign w:val="center"/>
                </w:tcPr>
                <w:p w14:paraId="1F0D1242" w14:textId="77777777" w:rsidR="00074A29" w:rsidRPr="00B45667" w:rsidRDefault="00074A29" w:rsidP="00074A29">
                  <w:pPr>
                    <w:jc w:val="center"/>
                    <w:rPr>
                      <w:rFonts w:cs="Times New Roman"/>
                      <w:sz w:val="13"/>
                      <w:szCs w:val="13"/>
                    </w:rPr>
                  </w:pPr>
                </w:p>
              </w:tc>
              <w:tc>
                <w:tcPr>
                  <w:tcW w:w="667" w:type="dxa"/>
                  <w:shd w:val="clear" w:color="auto" w:fill="auto"/>
                  <w:vAlign w:val="center"/>
                </w:tcPr>
                <w:p w14:paraId="1F0D1243" w14:textId="77777777" w:rsidR="00074A29" w:rsidRPr="00B45667" w:rsidRDefault="00074A29" w:rsidP="00074A29">
                  <w:pPr>
                    <w:jc w:val="right"/>
                    <w:rPr>
                      <w:rFonts w:cs="Times New Roman"/>
                      <w:sz w:val="13"/>
                      <w:szCs w:val="13"/>
                    </w:rPr>
                  </w:pPr>
                </w:p>
              </w:tc>
            </w:tr>
            <w:tr w:rsidR="00074A29" w:rsidRPr="00B45667" w14:paraId="1F0D1248" w14:textId="77777777" w:rsidTr="00EF675A">
              <w:trPr>
                <w:trHeight w:val="147"/>
                <w:jc w:val="center"/>
              </w:trPr>
              <w:tc>
                <w:tcPr>
                  <w:tcW w:w="3784" w:type="dxa"/>
                  <w:gridSpan w:val="3"/>
                  <w:shd w:val="clear" w:color="auto" w:fill="auto"/>
                </w:tcPr>
                <w:p w14:paraId="1F0D1245"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b/>
                      <w:lang w:bidi="ru-RU"/>
                    </w:rPr>
                    <w:t>Пошаговое увеличение на 0,1 ммоль/л</w:t>
                  </w:r>
                </w:p>
              </w:tc>
              <w:tc>
                <w:tcPr>
                  <w:tcW w:w="1330" w:type="dxa"/>
                  <w:shd w:val="clear" w:color="auto" w:fill="auto"/>
                  <w:vAlign w:val="center"/>
                </w:tcPr>
                <w:p w14:paraId="1F0D1246" w14:textId="77777777" w:rsidR="00074A29" w:rsidRPr="00B45667" w:rsidRDefault="00074A29" w:rsidP="00074A29">
                  <w:pPr>
                    <w:jc w:val="center"/>
                    <w:rPr>
                      <w:rFonts w:cs="Times New Roman"/>
                      <w:sz w:val="13"/>
                      <w:szCs w:val="13"/>
                    </w:rPr>
                  </w:pPr>
                </w:p>
              </w:tc>
              <w:tc>
                <w:tcPr>
                  <w:tcW w:w="667" w:type="dxa"/>
                  <w:shd w:val="clear" w:color="auto" w:fill="auto"/>
                  <w:vAlign w:val="center"/>
                </w:tcPr>
                <w:p w14:paraId="1F0D1247" w14:textId="77777777" w:rsidR="00074A29" w:rsidRPr="00B45667" w:rsidRDefault="00074A29" w:rsidP="00074A29">
                  <w:pPr>
                    <w:jc w:val="right"/>
                    <w:rPr>
                      <w:rFonts w:cs="Times New Roman"/>
                      <w:sz w:val="13"/>
                      <w:szCs w:val="13"/>
                    </w:rPr>
                  </w:pPr>
                </w:p>
              </w:tc>
            </w:tr>
            <w:tr w:rsidR="00EF675A" w:rsidRPr="00B45667" w14:paraId="1F0D124E" w14:textId="77777777" w:rsidTr="00EF675A">
              <w:trPr>
                <w:trHeight w:val="147"/>
                <w:jc w:val="center"/>
              </w:trPr>
              <w:tc>
                <w:tcPr>
                  <w:tcW w:w="989" w:type="dxa"/>
                  <w:shd w:val="clear" w:color="auto" w:fill="auto"/>
                </w:tcPr>
                <w:p w14:paraId="1F0D1249"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Gartside</w:t>
                  </w:r>
                </w:p>
              </w:tc>
              <w:tc>
                <w:tcPr>
                  <w:tcW w:w="460" w:type="dxa"/>
                  <w:shd w:val="clear" w:color="auto" w:fill="auto"/>
                </w:tcPr>
                <w:p w14:paraId="1F0D124A"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1995</w:t>
                  </w:r>
                </w:p>
              </w:tc>
              <w:tc>
                <w:tcPr>
                  <w:tcW w:w="2335" w:type="dxa"/>
                  <w:shd w:val="clear" w:color="auto" w:fill="auto"/>
                </w:tcPr>
                <w:p w14:paraId="1F0D124B" w14:textId="77777777" w:rsidR="00074A29" w:rsidRPr="00B45667" w:rsidRDefault="00074A29" w:rsidP="00EF675A">
                  <w:pPr>
                    <w:pStyle w:val="a4"/>
                    <w:shd w:val="clear" w:color="auto" w:fill="auto"/>
                    <w:spacing w:line="240" w:lineRule="auto"/>
                    <w:rPr>
                      <w:rFonts w:cs="Times New Roman"/>
                    </w:rPr>
                  </w:pPr>
                </w:p>
              </w:tc>
              <w:tc>
                <w:tcPr>
                  <w:tcW w:w="1330" w:type="dxa"/>
                  <w:shd w:val="clear" w:color="auto" w:fill="auto"/>
                  <w:vAlign w:val="center"/>
                </w:tcPr>
                <w:p w14:paraId="1F0D124C"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0,77 (0,65‒0,92)</w:t>
                  </w:r>
                </w:p>
              </w:tc>
              <w:tc>
                <w:tcPr>
                  <w:tcW w:w="667" w:type="dxa"/>
                  <w:shd w:val="clear" w:color="auto" w:fill="auto"/>
                  <w:vAlign w:val="center"/>
                </w:tcPr>
                <w:p w14:paraId="1F0D124D"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23,13</w:t>
                  </w:r>
                </w:p>
              </w:tc>
            </w:tr>
            <w:tr w:rsidR="00EF675A" w:rsidRPr="00B45667" w14:paraId="1F0D1254" w14:textId="77777777" w:rsidTr="00EF675A">
              <w:trPr>
                <w:trHeight w:val="147"/>
                <w:jc w:val="center"/>
              </w:trPr>
              <w:tc>
                <w:tcPr>
                  <w:tcW w:w="989" w:type="dxa"/>
                  <w:shd w:val="clear" w:color="auto" w:fill="auto"/>
                </w:tcPr>
                <w:p w14:paraId="1F0D124F"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Liao_женщины</w:t>
                  </w:r>
                </w:p>
              </w:tc>
              <w:tc>
                <w:tcPr>
                  <w:tcW w:w="460" w:type="dxa"/>
                  <w:shd w:val="clear" w:color="auto" w:fill="auto"/>
                </w:tcPr>
                <w:p w14:paraId="1F0D1250"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1998</w:t>
                  </w:r>
                </w:p>
              </w:tc>
              <w:tc>
                <w:tcPr>
                  <w:tcW w:w="2335" w:type="dxa"/>
                  <w:shd w:val="clear" w:color="auto" w:fill="auto"/>
                </w:tcPr>
                <w:p w14:paraId="1F0D1251" w14:textId="77777777" w:rsidR="00074A29" w:rsidRPr="00B45667" w:rsidRDefault="00074A29" w:rsidP="00EF675A">
                  <w:pPr>
                    <w:rPr>
                      <w:rFonts w:cs="Times New Roman"/>
                      <w:sz w:val="13"/>
                      <w:szCs w:val="13"/>
                    </w:rPr>
                  </w:pPr>
                </w:p>
              </w:tc>
              <w:tc>
                <w:tcPr>
                  <w:tcW w:w="1330" w:type="dxa"/>
                  <w:shd w:val="clear" w:color="auto" w:fill="auto"/>
                  <w:vAlign w:val="center"/>
                </w:tcPr>
                <w:p w14:paraId="1F0D1252"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0,65 (0,41‒1,01)</w:t>
                  </w:r>
                </w:p>
              </w:tc>
              <w:tc>
                <w:tcPr>
                  <w:tcW w:w="667" w:type="dxa"/>
                  <w:shd w:val="clear" w:color="auto" w:fill="auto"/>
                  <w:vAlign w:val="center"/>
                </w:tcPr>
                <w:p w14:paraId="1F0D1253"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8,16</w:t>
                  </w:r>
                </w:p>
              </w:tc>
            </w:tr>
            <w:tr w:rsidR="00EF675A" w:rsidRPr="00B45667" w14:paraId="1F0D125A" w14:textId="77777777" w:rsidTr="00EF675A">
              <w:trPr>
                <w:trHeight w:val="147"/>
                <w:jc w:val="center"/>
              </w:trPr>
              <w:tc>
                <w:tcPr>
                  <w:tcW w:w="989" w:type="dxa"/>
                  <w:shd w:val="clear" w:color="auto" w:fill="auto"/>
                </w:tcPr>
                <w:p w14:paraId="1F0D1255"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Liao_мужчины</w:t>
                  </w:r>
                </w:p>
              </w:tc>
              <w:tc>
                <w:tcPr>
                  <w:tcW w:w="460" w:type="dxa"/>
                  <w:shd w:val="clear" w:color="auto" w:fill="auto"/>
                </w:tcPr>
                <w:p w14:paraId="1F0D1256"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1998</w:t>
                  </w:r>
                </w:p>
              </w:tc>
              <w:tc>
                <w:tcPr>
                  <w:tcW w:w="2335" w:type="dxa"/>
                  <w:shd w:val="clear" w:color="auto" w:fill="auto"/>
                </w:tcPr>
                <w:p w14:paraId="1F0D1257" w14:textId="77777777" w:rsidR="00074A29" w:rsidRPr="00B45667" w:rsidRDefault="00074A29" w:rsidP="00EF675A">
                  <w:pPr>
                    <w:pStyle w:val="a4"/>
                    <w:shd w:val="clear" w:color="auto" w:fill="auto"/>
                    <w:spacing w:line="240" w:lineRule="auto"/>
                    <w:rPr>
                      <w:rFonts w:cs="Times New Roman"/>
                    </w:rPr>
                  </w:pPr>
                </w:p>
              </w:tc>
              <w:tc>
                <w:tcPr>
                  <w:tcW w:w="1330" w:type="dxa"/>
                  <w:shd w:val="clear" w:color="auto" w:fill="auto"/>
                  <w:vAlign w:val="center"/>
                </w:tcPr>
                <w:p w14:paraId="1F0D1258"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0,85 (0,64‒1,12)</w:t>
                  </w:r>
                </w:p>
              </w:tc>
              <w:tc>
                <w:tcPr>
                  <w:tcW w:w="667" w:type="dxa"/>
                  <w:shd w:val="clear" w:color="auto" w:fill="auto"/>
                  <w:vAlign w:val="center"/>
                </w:tcPr>
                <w:p w14:paraId="1F0D1259"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15,18</w:t>
                  </w:r>
                </w:p>
              </w:tc>
            </w:tr>
            <w:tr w:rsidR="00EF675A" w:rsidRPr="00B45667" w14:paraId="1F0D1260" w14:textId="77777777" w:rsidTr="00EF675A">
              <w:trPr>
                <w:trHeight w:val="147"/>
                <w:jc w:val="center"/>
              </w:trPr>
              <w:tc>
                <w:tcPr>
                  <w:tcW w:w="989" w:type="dxa"/>
                  <w:shd w:val="clear" w:color="auto" w:fill="auto"/>
                </w:tcPr>
                <w:p w14:paraId="1F0D125B"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Ford</w:t>
                  </w:r>
                </w:p>
              </w:tc>
              <w:tc>
                <w:tcPr>
                  <w:tcW w:w="460" w:type="dxa"/>
                  <w:shd w:val="clear" w:color="auto" w:fill="auto"/>
                </w:tcPr>
                <w:p w14:paraId="1F0D125C"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1999</w:t>
                  </w:r>
                </w:p>
              </w:tc>
              <w:tc>
                <w:tcPr>
                  <w:tcW w:w="2335" w:type="dxa"/>
                  <w:shd w:val="clear" w:color="auto" w:fill="auto"/>
                </w:tcPr>
                <w:p w14:paraId="1F0D125D" w14:textId="77777777" w:rsidR="00074A29" w:rsidRPr="00B45667" w:rsidRDefault="00074A29" w:rsidP="00EF675A">
                  <w:pPr>
                    <w:rPr>
                      <w:rFonts w:cs="Times New Roman"/>
                      <w:sz w:val="13"/>
                      <w:szCs w:val="13"/>
                    </w:rPr>
                  </w:pPr>
                </w:p>
              </w:tc>
              <w:tc>
                <w:tcPr>
                  <w:tcW w:w="1330" w:type="dxa"/>
                  <w:shd w:val="clear" w:color="auto" w:fill="auto"/>
                  <w:vAlign w:val="center"/>
                </w:tcPr>
                <w:p w14:paraId="1F0D125E"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0,99 (0,96‒1,01)</w:t>
                  </w:r>
                </w:p>
              </w:tc>
              <w:tc>
                <w:tcPr>
                  <w:tcW w:w="667" w:type="dxa"/>
                  <w:shd w:val="clear" w:color="auto" w:fill="auto"/>
                  <w:vAlign w:val="center"/>
                </w:tcPr>
                <w:p w14:paraId="1F0D125F"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34,03</w:t>
                  </w:r>
                </w:p>
              </w:tc>
            </w:tr>
            <w:tr w:rsidR="00EF675A" w:rsidRPr="00B45667" w14:paraId="1F0D1266" w14:textId="77777777" w:rsidTr="00EF675A">
              <w:trPr>
                <w:trHeight w:val="147"/>
                <w:jc w:val="center"/>
              </w:trPr>
              <w:tc>
                <w:tcPr>
                  <w:tcW w:w="989" w:type="dxa"/>
                  <w:shd w:val="clear" w:color="auto" w:fill="auto"/>
                </w:tcPr>
                <w:p w14:paraId="1F0D1261"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Khan</w:t>
                  </w:r>
                </w:p>
              </w:tc>
              <w:tc>
                <w:tcPr>
                  <w:tcW w:w="460" w:type="dxa"/>
                  <w:shd w:val="clear" w:color="auto" w:fill="auto"/>
                </w:tcPr>
                <w:p w14:paraId="1F0D1262"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2010</w:t>
                  </w:r>
                </w:p>
              </w:tc>
              <w:tc>
                <w:tcPr>
                  <w:tcW w:w="2335" w:type="dxa"/>
                  <w:shd w:val="clear" w:color="auto" w:fill="auto"/>
                </w:tcPr>
                <w:p w14:paraId="1F0D1263" w14:textId="77777777" w:rsidR="00074A29" w:rsidRPr="00B45667" w:rsidRDefault="00074A29" w:rsidP="00EF675A">
                  <w:pPr>
                    <w:rPr>
                      <w:rFonts w:cs="Times New Roman"/>
                      <w:sz w:val="13"/>
                      <w:szCs w:val="13"/>
                    </w:rPr>
                  </w:pPr>
                </w:p>
              </w:tc>
              <w:tc>
                <w:tcPr>
                  <w:tcW w:w="1330" w:type="dxa"/>
                  <w:shd w:val="clear" w:color="auto" w:fill="auto"/>
                  <w:vAlign w:val="center"/>
                </w:tcPr>
                <w:p w14:paraId="1F0D1264"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0,74 (0,32‒1,73)</w:t>
                  </w:r>
                </w:p>
              </w:tc>
              <w:tc>
                <w:tcPr>
                  <w:tcW w:w="667" w:type="dxa"/>
                  <w:shd w:val="clear" w:color="auto" w:fill="auto"/>
                  <w:vAlign w:val="center"/>
                </w:tcPr>
                <w:p w14:paraId="1F0D1265"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2,69</w:t>
                  </w:r>
                </w:p>
              </w:tc>
            </w:tr>
            <w:tr w:rsidR="00EF675A" w:rsidRPr="00B45667" w14:paraId="1F0D126C" w14:textId="77777777" w:rsidTr="00EF675A">
              <w:trPr>
                <w:trHeight w:val="147"/>
                <w:jc w:val="center"/>
              </w:trPr>
              <w:tc>
                <w:tcPr>
                  <w:tcW w:w="989" w:type="dxa"/>
                  <w:shd w:val="clear" w:color="auto" w:fill="auto"/>
                </w:tcPr>
                <w:p w14:paraId="1F0D1267"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Joosten</w:t>
                  </w:r>
                </w:p>
              </w:tc>
              <w:tc>
                <w:tcPr>
                  <w:tcW w:w="460" w:type="dxa"/>
                  <w:shd w:val="clear" w:color="auto" w:fill="auto"/>
                </w:tcPr>
                <w:p w14:paraId="1F0D1268" w14:textId="77777777" w:rsidR="00074A29" w:rsidRPr="00B45667" w:rsidRDefault="00074A29" w:rsidP="00EF675A">
                  <w:pPr>
                    <w:pStyle w:val="a4"/>
                    <w:shd w:val="clear" w:color="auto" w:fill="auto"/>
                    <w:spacing w:line="240" w:lineRule="auto"/>
                    <w:rPr>
                      <w:rFonts w:cs="Times New Roman"/>
                    </w:rPr>
                  </w:pPr>
                  <w:r w:rsidRPr="00B45667">
                    <w:rPr>
                      <w:rFonts w:eastAsia="Times New Roman" w:cs="Times New Roman"/>
                      <w:lang w:bidi="ru-RU"/>
                    </w:rPr>
                    <w:t>2013</w:t>
                  </w:r>
                </w:p>
              </w:tc>
              <w:tc>
                <w:tcPr>
                  <w:tcW w:w="2335" w:type="dxa"/>
                  <w:shd w:val="clear" w:color="auto" w:fill="auto"/>
                </w:tcPr>
                <w:p w14:paraId="1F0D1269" w14:textId="77777777" w:rsidR="00074A29" w:rsidRPr="00B45667" w:rsidRDefault="00074A29" w:rsidP="00EF675A">
                  <w:pPr>
                    <w:rPr>
                      <w:rFonts w:cs="Times New Roman"/>
                      <w:sz w:val="13"/>
                      <w:szCs w:val="13"/>
                    </w:rPr>
                  </w:pPr>
                </w:p>
              </w:tc>
              <w:tc>
                <w:tcPr>
                  <w:tcW w:w="1330" w:type="dxa"/>
                  <w:shd w:val="clear" w:color="auto" w:fill="auto"/>
                  <w:vAlign w:val="center"/>
                </w:tcPr>
                <w:p w14:paraId="1F0D126A"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lang w:bidi="ru-RU"/>
                    </w:rPr>
                    <w:t>1,08 (0,84‒1,39)</w:t>
                  </w:r>
                </w:p>
              </w:tc>
              <w:tc>
                <w:tcPr>
                  <w:tcW w:w="667" w:type="dxa"/>
                  <w:shd w:val="clear" w:color="auto" w:fill="auto"/>
                  <w:vAlign w:val="center"/>
                </w:tcPr>
                <w:p w14:paraId="1F0D126B"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lang w:bidi="ru-RU"/>
                    </w:rPr>
                    <w:t>16,80</w:t>
                  </w:r>
                </w:p>
              </w:tc>
            </w:tr>
            <w:tr w:rsidR="00074A29" w:rsidRPr="00B45667" w14:paraId="1F0D1270" w14:textId="77777777" w:rsidTr="00EF675A">
              <w:trPr>
                <w:trHeight w:val="147"/>
                <w:jc w:val="center"/>
              </w:trPr>
              <w:tc>
                <w:tcPr>
                  <w:tcW w:w="3784" w:type="dxa"/>
                  <w:gridSpan w:val="3"/>
                  <w:shd w:val="clear" w:color="auto" w:fill="auto"/>
                </w:tcPr>
                <w:p w14:paraId="1F0D126D" w14:textId="77777777" w:rsidR="00074A29" w:rsidRPr="00B45667" w:rsidRDefault="00074A29" w:rsidP="00EF675A">
                  <w:pPr>
                    <w:pStyle w:val="a4"/>
                    <w:shd w:val="clear" w:color="auto" w:fill="auto"/>
                    <w:tabs>
                      <w:tab w:val="left" w:pos="2314"/>
                    </w:tabs>
                    <w:spacing w:line="240" w:lineRule="auto"/>
                    <w:rPr>
                      <w:rFonts w:cs="Times New Roman"/>
                    </w:rPr>
                  </w:pPr>
                  <w:r w:rsidRPr="00B45667">
                    <w:rPr>
                      <w:rFonts w:eastAsia="Times New Roman" w:cs="Times New Roman"/>
                      <w:lang w:bidi="ru-RU"/>
                    </w:rPr>
                    <w:t>Неоднородность (</w:t>
                  </w:r>
                  <w:r w:rsidRPr="00B45667">
                    <w:rPr>
                      <w:rFonts w:eastAsia="Times New Roman" w:cs="Times New Roman"/>
                      <w:i/>
                      <w:lang w:bidi="ru-RU"/>
                    </w:rPr>
                    <w:t>I</w:t>
                  </w:r>
                  <w:r w:rsidRPr="00B45667">
                    <w:rPr>
                      <w:rFonts w:eastAsia="Times New Roman" w:cs="Times New Roman"/>
                      <w:vertAlign w:val="superscript"/>
                      <w:lang w:bidi="ru-RU"/>
                    </w:rPr>
                    <w:t>2 </w:t>
                  </w:r>
                  <w:r w:rsidRPr="00B45667">
                    <w:rPr>
                      <w:rFonts w:eastAsia="Times New Roman" w:cs="Times New Roman"/>
                      <w:lang w:bidi="ru-RU"/>
                    </w:rPr>
                    <w:t xml:space="preserve">= 61,9 %, </w:t>
                  </w:r>
                  <w:r w:rsidRPr="00B45667">
                    <w:rPr>
                      <w:rFonts w:eastAsia="Times New Roman" w:cs="Times New Roman"/>
                      <w:i/>
                      <w:lang w:bidi="ru-RU"/>
                    </w:rPr>
                    <w:t>P</w:t>
                  </w:r>
                  <w:r w:rsidRPr="00B45667">
                    <w:rPr>
                      <w:rFonts w:eastAsia="Times New Roman" w:cs="Times New Roman"/>
                      <w:lang w:bidi="ru-RU"/>
                    </w:rPr>
                    <w:t> =0,02)</w:t>
                  </w:r>
                </w:p>
              </w:tc>
              <w:tc>
                <w:tcPr>
                  <w:tcW w:w="1330" w:type="dxa"/>
                  <w:shd w:val="clear" w:color="auto" w:fill="auto"/>
                  <w:vAlign w:val="center"/>
                </w:tcPr>
                <w:p w14:paraId="1F0D126E" w14:textId="77777777" w:rsidR="00074A29" w:rsidRPr="00B45667" w:rsidRDefault="00074A29" w:rsidP="00074A29">
                  <w:pPr>
                    <w:pStyle w:val="a4"/>
                    <w:shd w:val="clear" w:color="auto" w:fill="auto"/>
                    <w:spacing w:line="240" w:lineRule="auto"/>
                    <w:jc w:val="center"/>
                    <w:rPr>
                      <w:rFonts w:cs="Times New Roman"/>
                    </w:rPr>
                  </w:pPr>
                  <w:r w:rsidRPr="00B45667">
                    <w:rPr>
                      <w:rFonts w:eastAsia="Times New Roman" w:cs="Times New Roman"/>
                      <w:b/>
                      <w:lang w:bidi="ru-RU"/>
                    </w:rPr>
                    <w:t>0,89 (0,77‒1,03)</w:t>
                  </w:r>
                </w:p>
              </w:tc>
              <w:tc>
                <w:tcPr>
                  <w:tcW w:w="667" w:type="dxa"/>
                  <w:shd w:val="clear" w:color="auto" w:fill="auto"/>
                  <w:vAlign w:val="center"/>
                </w:tcPr>
                <w:p w14:paraId="1F0D126F" w14:textId="77777777" w:rsidR="00074A29" w:rsidRPr="00B45667" w:rsidRDefault="00074A29" w:rsidP="00074A29">
                  <w:pPr>
                    <w:pStyle w:val="a4"/>
                    <w:shd w:val="clear" w:color="auto" w:fill="auto"/>
                    <w:spacing w:line="240" w:lineRule="auto"/>
                    <w:jc w:val="right"/>
                    <w:rPr>
                      <w:rFonts w:cs="Times New Roman"/>
                    </w:rPr>
                  </w:pPr>
                  <w:r w:rsidRPr="00B45667">
                    <w:rPr>
                      <w:rFonts w:eastAsia="Times New Roman" w:cs="Times New Roman"/>
                      <w:b/>
                      <w:lang w:bidi="ru-RU"/>
                    </w:rPr>
                    <w:t>100,00</w:t>
                  </w:r>
                </w:p>
              </w:tc>
            </w:tr>
          </w:tbl>
          <w:p w14:paraId="1F0D1271" w14:textId="77777777" w:rsidR="00074A29" w:rsidRPr="00B45667" w:rsidRDefault="00074A29" w:rsidP="00074A29">
            <w:pPr>
              <w:jc w:val="center"/>
              <w:rPr>
                <w:rFonts w:cs="Times New Roman"/>
                <w:sz w:val="8"/>
                <w:szCs w:val="8"/>
              </w:rPr>
            </w:pPr>
          </w:p>
          <w:p w14:paraId="1F0D1272" w14:textId="77777777" w:rsidR="00EF675A" w:rsidRPr="00B45667" w:rsidRDefault="00EF675A" w:rsidP="00074A29">
            <w:pPr>
              <w:jc w:val="center"/>
              <w:rPr>
                <w:rFonts w:cs="Times New Roman"/>
                <w:sz w:val="8"/>
                <w:szCs w:val="8"/>
              </w:rPr>
            </w:pPr>
          </w:p>
          <w:p w14:paraId="1F0D1273" w14:textId="77777777" w:rsidR="00EF675A" w:rsidRPr="00B45667" w:rsidRDefault="00EF675A" w:rsidP="00074A29">
            <w:pPr>
              <w:jc w:val="center"/>
              <w:rPr>
                <w:rFonts w:cs="Times New Roman"/>
                <w:sz w:val="8"/>
                <w:szCs w:val="8"/>
              </w:rPr>
            </w:pPr>
          </w:p>
          <w:p w14:paraId="1F0D1274" w14:textId="77777777" w:rsidR="00EF675A" w:rsidRPr="00B45667" w:rsidRDefault="00EF675A" w:rsidP="00074A29">
            <w:pPr>
              <w:jc w:val="center"/>
              <w:rPr>
                <w:rFonts w:cs="Times New Roman"/>
                <w:sz w:val="8"/>
                <w:szCs w:val="8"/>
              </w:rPr>
            </w:pPr>
          </w:p>
          <w:p w14:paraId="1F0D1275" w14:textId="77777777" w:rsidR="00EF675A" w:rsidRPr="00B45667" w:rsidRDefault="00EF675A" w:rsidP="00074A29">
            <w:pPr>
              <w:jc w:val="center"/>
              <w:rPr>
                <w:rFonts w:cs="Times New Roman"/>
                <w:sz w:val="8"/>
                <w:szCs w:val="8"/>
              </w:rPr>
            </w:pPr>
          </w:p>
          <w:p w14:paraId="1F0D1276" w14:textId="77777777" w:rsidR="00EF675A" w:rsidRPr="00B45667" w:rsidRDefault="00EF675A" w:rsidP="00EF675A">
            <w:pPr>
              <w:rPr>
                <w:rFonts w:cs="Times New Roman"/>
                <w:sz w:val="8"/>
                <w:szCs w:val="8"/>
              </w:rPr>
            </w:pPr>
          </w:p>
          <w:p w14:paraId="1F0D1277" w14:textId="77777777" w:rsidR="00EF675A" w:rsidRPr="00B45667" w:rsidRDefault="00EF675A" w:rsidP="00E74E04">
            <w:pPr>
              <w:widowControl/>
              <w:autoSpaceDE w:val="0"/>
              <w:autoSpaceDN w:val="0"/>
              <w:adjustRightInd w:val="0"/>
              <w:spacing w:before="120" w:after="120"/>
              <w:ind w:left="57" w:right="57"/>
              <w:jc w:val="both"/>
              <w:rPr>
                <w:rFonts w:cs="Times New Roman"/>
                <w:sz w:val="8"/>
                <w:szCs w:val="8"/>
              </w:rPr>
            </w:pPr>
            <w:r w:rsidRPr="00B45667">
              <w:rPr>
                <w:rFonts w:eastAsia="Segoe UI" w:cs="Times New Roman"/>
                <w:b/>
                <w:color w:val="131413"/>
                <w:sz w:val="16"/>
                <w:szCs w:val="16"/>
                <w:lang w:bidi="ru-RU"/>
              </w:rPr>
              <w:t>Рис. 2.</w:t>
            </w:r>
            <w:r w:rsidRPr="00B45667">
              <w:rPr>
                <w:rFonts w:eastAsia="Segoe UI" w:cs="Times New Roman"/>
                <w:color w:val="131413"/>
                <w:sz w:val="16"/>
                <w:szCs w:val="16"/>
                <w:lang w:bidi="ru-RU"/>
              </w:rPr>
              <w:t xml:space="preserve"> Скорректированные с учетом нескольких переменных величины ОР (95 % ДИ) развития ИБС при сравнении самой высокой и самой низкой концентрации Mg или при анализе пошагового увеличения концентрации Mg в крови на 0,1 ммоль/л, в проспективных когортных исследованиях Общая оценка получена при анализе модели со случайными эффектами. Точки обозначают скорректированные величины ОР. Площадь затененного квадрата пропорциональна весу каждого исследования. Горизонтальными линиями отмечены 95 % ДИ. Ромбовидные метки обозначают величины совокупного ОР. Сокращения:  ИБС ― ишемическая болезнь сердца; ДИ ― доверительный интервал; ОР ― относительный риск</w:t>
            </w:r>
          </w:p>
        </w:tc>
      </w:tr>
    </w:tbl>
    <w:p w14:paraId="1F0D1279" w14:textId="77777777" w:rsidR="00722C17" w:rsidRPr="00B45667" w:rsidRDefault="00722C17" w:rsidP="00EF675A">
      <w:pPr>
        <w:rPr>
          <w:rFonts w:cs="Times New Roman"/>
        </w:rPr>
      </w:pPr>
    </w:p>
    <w:p w14:paraId="1F0D127A" w14:textId="77777777" w:rsidR="004577D8" w:rsidRPr="00DE4D74" w:rsidRDefault="00722C17" w:rsidP="00EF675A">
      <w:pPr>
        <w:pStyle w:val="20"/>
        <w:shd w:val="clear" w:color="auto" w:fill="auto"/>
        <w:jc w:val="both"/>
        <w:rPr>
          <w:szCs w:val="20"/>
        </w:rPr>
      </w:pPr>
      <w:bookmarkStart w:id="29" w:name="bookmark30"/>
      <w:r w:rsidRPr="00DE4D74">
        <w:rPr>
          <w:szCs w:val="20"/>
          <w:lang w:bidi="ru-RU"/>
        </w:rPr>
        <w:t>P = 0,24), равно как и значимой систематической ошибки, связанной с предвзятостью публикаций (критерий Эггера: P = 0,94; критерий Бегга: P = 0,46).</w:t>
      </w:r>
      <w:bookmarkEnd w:id="29"/>
    </w:p>
    <w:p w14:paraId="1F0D127B" w14:textId="77777777" w:rsidR="004577D8" w:rsidRPr="00DE4D74" w:rsidRDefault="00722C17" w:rsidP="00EF675A">
      <w:pPr>
        <w:pStyle w:val="20"/>
        <w:shd w:val="clear" w:color="auto" w:fill="auto"/>
        <w:ind w:firstLine="284"/>
        <w:jc w:val="both"/>
        <w:rPr>
          <w:szCs w:val="20"/>
        </w:rPr>
      </w:pPr>
      <w:r w:rsidRPr="00DE4D74">
        <w:rPr>
          <w:szCs w:val="20"/>
          <w:lang w:bidi="ru-RU"/>
        </w:rPr>
        <w:t>По итогам анализа имеющихся данных из 3 когорт, наблюдалась незначимая линейная зависимость (ОР 0,90; 95 % ДИ от 0,81 до 1,002; тенденция Р = 0,054 при пошаговом увеличении концентрации Mg в крови на 0,1 ммоль/л). Однако определялась высокая степень неоднородности исследований (I</w:t>
      </w:r>
      <w:r w:rsidRPr="00DE4D74">
        <w:rPr>
          <w:szCs w:val="20"/>
          <w:vertAlign w:val="superscript"/>
          <w:lang w:bidi="ru-RU"/>
        </w:rPr>
        <w:t>2 </w:t>
      </w:r>
      <w:r w:rsidRPr="00DE4D74">
        <w:rPr>
          <w:szCs w:val="20"/>
          <w:lang w:bidi="ru-RU"/>
        </w:rPr>
        <w:t>= 76,4 %, P = 0,01). Признаков систематической ошибки, связанной с предвзятостью публикаций, выявлено не было (критерий Эггера: P = 0,26; критерий Бегга: P = 0,31).</w:t>
      </w:r>
    </w:p>
    <w:p w14:paraId="1F0D127C" w14:textId="77777777" w:rsidR="004577D8" w:rsidRPr="00DE4D74" w:rsidRDefault="00722C17" w:rsidP="00EF675A">
      <w:pPr>
        <w:pStyle w:val="20"/>
        <w:shd w:val="clear" w:color="auto" w:fill="auto"/>
        <w:ind w:firstLine="284"/>
        <w:jc w:val="both"/>
        <w:rPr>
          <w:szCs w:val="20"/>
        </w:rPr>
      </w:pPr>
      <w:r w:rsidRPr="00DE4D74">
        <w:rPr>
          <w:szCs w:val="20"/>
          <w:lang w:bidi="ru-RU"/>
        </w:rPr>
        <w:t xml:space="preserve">Воронкообразные диаграммы не указывали на наличие систематической ошибки, связанной с предвзятостью публикаций, ни в одной из совокупностей в настоящем метаанализе (см. приложение </w:t>
      </w:r>
      <w:hyperlink w:anchor="bookmark45" w:tooltip="Текущий документ">
        <w:r w:rsidRPr="00DE4D74">
          <w:rPr>
            <w:szCs w:val="20"/>
            <w:lang w:bidi="ru-RU"/>
          </w:rPr>
          <w:t>1</w:t>
        </w:r>
      </w:hyperlink>
      <w:r w:rsidRPr="00DE4D74">
        <w:rPr>
          <w:szCs w:val="20"/>
          <w:lang w:bidi="ru-RU"/>
        </w:rPr>
        <w:t>: рисунок S1 в сопроводительных материалах).</w:t>
      </w:r>
    </w:p>
    <w:p w14:paraId="1F0D127E" w14:textId="4621E119" w:rsidR="00EF675A" w:rsidRDefault="00722C17" w:rsidP="00FE2ED4">
      <w:pPr>
        <w:pStyle w:val="22"/>
        <w:keepNext w:val="0"/>
        <w:keepLines w:val="0"/>
        <w:pageBreakBefore/>
      </w:pPr>
      <w:bookmarkStart w:id="30" w:name="bookmark31"/>
      <w:bookmarkStart w:id="31" w:name="bookmark32"/>
      <w:r w:rsidRPr="00E74E04">
        <w:lastRenderedPageBreak/>
        <w:t>Анализ чувствительности</w:t>
      </w:r>
      <w:bookmarkEnd w:id="30"/>
      <w:bookmarkEnd w:id="31"/>
    </w:p>
    <w:p w14:paraId="1F0D12D6" w14:textId="76CDA712" w:rsidR="00705422" w:rsidRPr="00CA37A5" w:rsidRDefault="00E271AD" w:rsidP="00FE2ED4">
      <w:pPr>
        <w:spacing w:after="120"/>
        <w:jc w:val="both"/>
        <w:rPr>
          <w:rFonts w:eastAsia="Times New Roman" w:cs="Times New Roman"/>
          <w:color w:val="131413"/>
          <w:sz w:val="20"/>
          <w:szCs w:val="20"/>
          <w:lang w:bidi="ru-RU"/>
        </w:rPr>
      </w:pPr>
      <w:r w:rsidRPr="00E271AD">
        <w:rPr>
          <w:rFonts w:eastAsia="Times New Roman" w:cs="Times New Roman"/>
          <w:color w:val="131413"/>
          <w:sz w:val="20"/>
          <w:szCs w:val="20"/>
          <w:lang w:bidi="ru-RU"/>
        </w:rPr>
        <w:t>При замещении модели со случайными эффектами моделью с фиксированными эффектами результаты, в целом, сохранились, за исключением того, что линейная зависимость между концентрацией Mg в крови и частотой развития СД 2 типа приобрела статистическую значимость</w:t>
      </w:r>
    </w:p>
    <w:tbl>
      <w:tblPr>
        <w:tblStyle w:val="af3"/>
        <w:tblW w:w="5000" w:type="pct"/>
        <w:tblCellMar>
          <w:top w:w="17" w:type="dxa"/>
          <w:left w:w="17" w:type="dxa"/>
          <w:bottom w:w="17" w:type="dxa"/>
          <w:right w:w="17" w:type="dxa"/>
        </w:tblCellMar>
        <w:tblLook w:val="04A0" w:firstRow="1" w:lastRow="0" w:firstColumn="1" w:lastColumn="0" w:noHBand="0" w:noVBand="1"/>
      </w:tblPr>
      <w:tblGrid>
        <w:gridCol w:w="10006"/>
      </w:tblGrid>
      <w:tr w:rsidR="00B667F4" w:rsidRPr="00B45667" w14:paraId="4C4701F6" w14:textId="77777777" w:rsidTr="00B667F4">
        <w:trPr>
          <w:trHeight w:val="5447"/>
        </w:trPr>
        <w:tc>
          <w:tcPr>
            <w:tcW w:w="5000" w:type="pct"/>
            <w:shd w:val="clear" w:color="auto" w:fill="auto"/>
          </w:tcPr>
          <w:p w14:paraId="76E622F0" w14:textId="77777777" w:rsidR="00B667F4" w:rsidRPr="00B45667" w:rsidRDefault="00B667F4" w:rsidP="00B667F4">
            <w:pPr>
              <w:jc w:val="center"/>
              <w:rPr>
                <w:rFonts w:cs="Times New Roman"/>
                <w:sz w:val="8"/>
                <w:szCs w:val="8"/>
              </w:rPr>
            </w:pPr>
          </w:p>
          <w:tbl>
            <w:tblPr>
              <w:tblOverlap w:val="never"/>
              <w:tblW w:w="6802" w:type="dxa"/>
              <w:jc w:val="center"/>
              <w:tblCellMar>
                <w:top w:w="17" w:type="dxa"/>
                <w:left w:w="17" w:type="dxa"/>
                <w:bottom w:w="17" w:type="dxa"/>
                <w:right w:w="17" w:type="dxa"/>
              </w:tblCellMar>
              <w:tblLook w:val="0000" w:firstRow="0" w:lastRow="0" w:firstColumn="0" w:lastColumn="0" w:noHBand="0" w:noVBand="0"/>
            </w:tblPr>
            <w:tblGrid>
              <w:gridCol w:w="1138"/>
              <w:gridCol w:w="470"/>
              <w:gridCol w:w="3274"/>
              <w:gridCol w:w="1166"/>
              <w:gridCol w:w="754"/>
            </w:tblGrid>
            <w:tr w:rsidR="00B667F4" w:rsidRPr="00B45667" w14:paraId="46E54C95" w14:textId="77777777" w:rsidTr="001A7DA3">
              <w:trPr>
                <w:trHeight w:val="264"/>
                <w:jc w:val="center"/>
              </w:trPr>
              <w:tc>
                <w:tcPr>
                  <w:tcW w:w="1138" w:type="dxa"/>
                  <w:tcBorders>
                    <w:bottom w:val="single" w:sz="4" w:space="0" w:color="BFBFBF" w:themeColor="background1" w:themeShade="BF"/>
                  </w:tcBorders>
                  <w:shd w:val="clear" w:color="auto" w:fill="auto"/>
                  <w:vAlign w:val="center"/>
                </w:tcPr>
                <w:p w14:paraId="75D742ED"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b/>
                      <w:sz w:val="15"/>
                      <w:szCs w:val="15"/>
                      <w:lang w:bidi="ru-RU"/>
                    </w:rPr>
                    <w:t>Автор</w:t>
                  </w:r>
                </w:p>
              </w:tc>
              <w:tc>
                <w:tcPr>
                  <w:tcW w:w="470" w:type="dxa"/>
                  <w:tcBorders>
                    <w:bottom w:val="single" w:sz="4" w:space="0" w:color="BFBFBF" w:themeColor="background1" w:themeShade="BF"/>
                  </w:tcBorders>
                  <w:shd w:val="clear" w:color="auto" w:fill="auto"/>
                  <w:vAlign w:val="center"/>
                </w:tcPr>
                <w:p w14:paraId="5E2F741C"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b/>
                      <w:sz w:val="15"/>
                      <w:szCs w:val="15"/>
                      <w:lang w:bidi="ru-RU"/>
                    </w:rPr>
                    <w:t>Год</w:t>
                  </w:r>
                </w:p>
              </w:tc>
              <w:tc>
                <w:tcPr>
                  <w:tcW w:w="3274" w:type="dxa"/>
                  <w:tcBorders>
                    <w:bottom w:val="single" w:sz="4" w:space="0" w:color="BFBFBF" w:themeColor="background1" w:themeShade="BF"/>
                  </w:tcBorders>
                  <w:shd w:val="clear" w:color="auto" w:fill="auto"/>
                  <w:vAlign w:val="center"/>
                </w:tcPr>
                <w:p w14:paraId="5D86334E" w14:textId="77777777" w:rsidR="00B667F4" w:rsidRPr="00B45667" w:rsidRDefault="00B667F4" w:rsidP="00B667F4">
                  <w:pPr>
                    <w:rPr>
                      <w:rFonts w:cs="Times New Roman"/>
                      <w:sz w:val="15"/>
                      <w:szCs w:val="15"/>
                    </w:rPr>
                  </w:pPr>
                </w:p>
              </w:tc>
              <w:tc>
                <w:tcPr>
                  <w:tcW w:w="1166" w:type="dxa"/>
                  <w:tcBorders>
                    <w:bottom w:val="single" w:sz="4" w:space="0" w:color="BFBFBF" w:themeColor="background1" w:themeShade="BF"/>
                  </w:tcBorders>
                  <w:shd w:val="clear" w:color="auto" w:fill="auto"/>
                  <w:vAlign w:val="center"/>
                </w:tcPr>
                <w:p w14:paraId="006B2F13"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b/>
                      <w:sz w:val="15"/>
                      <w:szCs w:val="15"/>
                      <w:lang w:bidi="ru-RU"/>
                    </w:rPr>
                    <w:t>ОР (95 % ДИ)</w:t>
                  </w:r>
                </w:p>
              </w:tc>
              <w:tc>
                <w:tcPr>
                  <w:tcW w:w="754" w:type="dxa"/>
                  <w:tcBorders>
                    <w:bottom w:val="single" w:sz="4" w:space="0" w:color="BFBFBF" w:themeColor="background1" w:themeShade="BF"/>
                  </w:tcBorders>
                  <w:shd w:val="clear" w:color="auto" w:fill="auto"/>
                  <w:vAlign w:val="center"/>
                </w:tcPr>
                <w:p w14:paraId="2AF9A96C"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b/>
                      <w:sz w:val="15"/>
                      <w:szCs w:val="15"/>
                      <w:lang w:bidi="ru-RU"/>
                    </w:rPr>
                    <w:t>Вес, %</w:t>
                  </w:r>
                </w:p>
              </w:tc>
            </w:tr>
            <w:tr w:rsidR="00B667F4" w:rsidRPr="00B45667" w14:paraId="435A0F57" w14:textId="77777777" w:rsidTr="001A7DA3">
              <w:trPr>
                <w:trHeight w:val="244"/>
                <w:jc w:val="center"/>
              </w:trPr>
              <w:tc>
                <w:tcPr>
                  <w:tcW w:w="4882" w:type="dxa"/>
                  <w:gridSpan w:val="3"/>
                  <w:tcBorders>
                    <w:top w:val="single" w:sz="4" w:space="0" w:color="BFBFBF" w:themeColor="background1" w:themeShade="BF"/>
                  </w:tcBorders>
                  <w:shd w:val="clear" w:color="auto" w:fill="auto"/>
                </w:tcPr>
                <w:p w14:paraId="65B7C5E2"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noProof/>
                      <w:sz w:val="15"/>
                      <w:szCs w:val="15"/>
                      <w:lang w:eastAsia="ru-RU" w:bidi="ar-SA"/>
                    </w:rPr>
                    <mc:AlternateContent>
                      <mc:Choice Requires="wpg">
                        <w:drawing>
                          <wp:anchor distT="0" distB="0" distL="114300" distR="114300" simplePos="0" relativeHeight="251665408" behindDoc="1" locked="0" layoutInCell="1" allowOverlap="1" wp14:anchorId="5B231EB2" wp14:editId="6D5D74D1">
                            <wp:simplePos x="0" y="0"/>
                            <wp:positionH relativeFrom="column">
                              <wp:posOffset>998525</wp:posOffset>
                            </wp:positionH>
                            <wp:positionV relativeFrom="paragraph">
                              <wp:posOffset>8813</wp:posOffset>
                            </wp:positionV>
                            <wp:extent cx="2306955" cy="2765145"/>
                            <wp:effectExtent l="0" t="0" r="0" b="0"/>
                            <wp:wrapNone/>
                            <wp:docPr id="69" name="Группа 10"/>
                            <wp:cNvGraphicFramePr/>
                            <a:graphic xmlns:a="http://schemas.openxmlformats.org/drawingml/2006/main">
                              <a:graphicData uri="http://schemas.microsoft.com/office/word/2010/wordprocessingGroup">
                                <wpg:wgp>
                                  <wpg:cNvGrpSpPr/>
                                  <wpg:grpSpPr>
                                    <a:xfrm>
                                      <a:off x="0" y="0"/>
                                      <a:ext cx="2306955" cy="2765145"/>
                                      <a:chOff x="0" y="0"/>
                                      <a:chExt cx="2307336" cy="2382922"/>
                                    </a:xfrm>
                                  </wpg:grpSpPr>
                                  <pic:pic xmlns:pic="http://schemas.openxmlformats.org/drawingml/2006/picture">
                                    <pic:nvPicPr>
                                      <pic:cNvPr id="70" name="Рисунок 70"/>
                                      <pic:cNvPicPr>
                                        <a:picLocks noChangeAspect="1"/>
                                      </pic:cNvPicPr>
                                    </pic:nvPicPr>
                                    <pic:blipFill>
                                      <a:blip r:embed="rId39"/>
                                      <a:stretch>
                                        <a:fillRect/>
                                      </a:stretch>
                                    </pic:blipFill>
                                    <pic:spPr>
                                      <a:xfrm>
                                        <a:off x="0" y="0"/>
                                        <a:ext cx="2307336" cy="2377440"/>
                                      </a:xfrm>
                                      <a:prstGeom prst="rect">
                                        <a:avLst/>
                                      </a:prstGeom>
                                    </pic:spPr>
                                  </pic:pic>
                                  <wps:wsp>
                                    <wps:cNvPr id="71" name="Прямоугольник 71"/>
                                    <wps:cNvSpPr/>
                                    <wps:spPr>
                                      <a:xfrm>
                                        <a:off x="21332" y="2255139"/>
                                        <a:ext cx="119380" cy="100965"/>
                                      </a:xfrm>
                                      <a:prstGeom prst="rect">
                                        <a:avLst/>
                                      </a:prstGeom>
                                      <a:solidFill>
                                        <a:srgbClr val="FFFFFF"/>
                                      </a:solidFill>
                                    </wps:spPr>
                                    <wps:txbx>
                                      <w:txbxContent>
                                        <w:p w14:paraId="50A0383F" w14:textId="77777777" w:rsidR="00B667F4" w:rsidRDefault="00B667F4" w:rsidP="00B667F4">
                                          <w:pPr>
                                            <w:pStyle w:val="af1"/>
                                            <w:spacing w:before="0" w:beforeAutospacing="0" w:after="0" w:afterAutospacing="0"/>
                                          </w:pPr>
                                          <w:r>
                                            <w:rPr>
                                              <w:rFonts w:cstheme="minorBidi"/>
                                              <w:b/>
                                              <w:color w:val="000000" w:themeColor="text1"/>
                                              <w:kern w:val="24"/>
                                              <w:sz w:val="15"/>
                                              <w:szCs w:val="15"/>
                                              <w:lang w:bidi="ru-RU"/>
                                            </w:rPr>
                                            <w:t>0,5</w:t>
                                          </w:r>
                                        </w:p>
                                      </w:txbxContent>
                                    </wps:txbx>
                                    <wps:bodyPr wrap="none" lIns="0" tIns="0" rIns="0" bIns="0">
                                      <a:noAutofit/>
                                    </wps:bodyPr>
                                  </wps:wsp>
                                  <wps:wsp>
                                    <wps:cNvPr id="72" name="Прямоугольник 72"/>
                                    <wps:cNvSpPr/>
                                    <wps:spPr>
                                      <a:xfrm>
                                        <a:off x="1078814" y="2255139"/>
                                        <a:ext cx="119380" cy="100965"/>
                                      </a:xfrm>
                                      <a:prstGeom prst="rect">
                                        <a:avLst/>
                                      </a:prstGeom>
                                      <a:solidFill>
                                        <a:srgbClr val="FFFFFF"/>
                                      </a:solidFill>
                                    </wps:spPr>
                                    <wps:txbx>
                                      <w:txbxContent>
                                        <w:p w14:paraId="2D9A9A7C" w14:textId="77777777" w:rsidR="00B667F4" w:rsidRDefault="00B667F4" w:rsidP="00B667F4">
                                          <w:pPr>
                                            <w:pStyle w:val="af1"/>
                                            <w:spacing w:before="0" w:beforeAutospacing="0" w:after="0" w:afterAutospacing="0"/>
                                          </w:pPr>
                                          <w:r>
                                            <w:rPr>
                                              <w:rFonts w:cstheme="minorBidi"/>
                                              <w:b/>
                                              <w:color w:val="000000" w:themeColor="text1"/>
                                              <w:kern w:val="24"/>
                                              <w:sz w:val="15"/>
                                              <w:szCs w:val="15"/>
                                              <w:lang w:bidi="ru-RU"/>
                                            </w:rPr>
                                            <w:t>1,0</w:t>
                                          </w:r>
                                        </w:p>
                                      </w:txbxContent>
                                    </wps:txbx>
                                    <wps:bodyPr wrap="none" lIns="0" tIns="0" rIns="0" bIns="0">
                                      <a:noAutofit/>
                                    </wps:bodyPr>
                                  </wps:wsp>
                                  <wps:wsp>
                                    <wps:cNvPr id="73" name="Прямоугольник 73"/>
                                    <wps:cNvSpPr/>
                                    <wps:spPr>
                                      <a:xfrm>
                                        <a:off x="2160675" y="2252112"/>
                                        <a:ext cx="119380" cy="130810"/>
                                      </a:xfrm>
                                      <a:prstGeom prst="rect">
                                        <a:avLst/>
                                      </a:prstGeom>
                                      <a:solidFill>
                                        <a:srgbClr val="FFFFFF"/>
                                      </a:solidFill>
                                    </wps:spPr>
                                    <wps:txbx>
                                      <w:txbxContent>
                                        <w:p w14:paraId="1F255978" w14:textId="77777777" w:rsidR="00B667F4" w:rsidRDefault="00B667F4" w:rsidP="00B667F4">
                                          <w:pPr>
                                            <w:pStyle w:val="af1"/>
                                            <w:spacing w:before="0" w:beforeAutospacing="0" w:after="0" w:afterAutospacing="0"/>
                                            <w:jc w:val="right"/>
                                          </w:pPr>
                                          <w:r>
                                            <w:rPr>
                                              <w:rFonts w:cstheme="minorBidi"/>
                                              <w:b/>
                                              <w:color w:val="000000" w:themeColor="text1"/>
                                              <w:kern w:val="24"/>
                                              <w:sz w:val="15"/>
                                              <w:szCs w:val="15"/>
                                              <w:lang w:bidi="ru-RU"/>
                                            </w:rPr>
                                            <w:t>2,0</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31EB2" id="Группа 10" o:spid="_x0000_s1045" style="position:absolute;margin-left:78.6pt;margin-top:.7pt;width:181.65pt;height:217.75pt;z-index:-251651072;mso-position-horizontal-relative:text;mso-position-vertical-relative:text;mso-width-relative:margin;mso-height-relative:margin" coordsize="23073,23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">
                            <v:shape id="Рисунок 70" o:spid="_x0000_s1046" type="#_x0000_t75" style="position:absolute;width:2307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">
                              <v:imagedata r:id="rId40" o:title=""/>
                            </v:shape>
                            <v:rect id="Прямоугольник 71" o:spid="_x0000_s1047" style="position:absolute;left:213;top:22551;width:1194;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" stroked="f">
                              <v:textbox inset="0,0,0,0">
                                <w:txbxContent>
                                  <w:p w14:paraId="50A0383F" w14:textId="77777777" w:rsidR="00B667F4" w:rsidRDefault="00B667F4" w:rsidP="00B667F4">
                                    <w:pPr>
                                      <w:pStyle w:val="af1"/>
                                      <w:spacing w:before="0" w:beforeAutospacing="0" w:after="0" w:afterAutospacing="0"/>
                                    </w:pPr>
                                    <w:r>
                                      <w:rPr>
                                        <w:rFonts w:cstheme="minorBidi"/>
                                        <w:b/>
                                        <w:color w:val="000000" w:themeColor="text1"/>
                                        <w:kern w:val="24"/>
                                        <w:sz w:val="15"/>
                                        <w:szCs w:val="15"/>
                                        <w:lang w:bidi="ru-RU"/>
                                      </w:rPr>
                                      <w:t>0,5</w:t>
                                    </w:r>
                                  </w:p>
                                </w:txbxContent>
                              </v:textbox>
                            </v:rect>
                            <v:rect id="Прямоугольник 72" o:spid="_x0000_s1048" style="position:absolute;left:10788;top:22551;width:119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" stroked="f">
                              <v:textbox inset="0,0,0,0">
                                <w:txbxContent>
                                  <w:p w14:paraId="2D9A9A7C" w14:textId="77777777" w:rsidR="00B667F4" w:rsidRDefault="00B667F4" w:rsidP="00B667F4">
                                    <w:pPr>
                                      <w:pStyle w:val="af1"/>
                                      <w:spacing w:before="0" w:beforeAutospacing="0" w:after="0" w:afterAutospacing="0"/>
                                    </w:pPr>
                                    <w:r>
                                      <w:rPr>
                                        <w:rFonts w:cstheme="minorBidi"/>
                                        <w:b/>
                                        <w:color w:val="000000" w:themeColor="text1"/>
                                        <w:kern w:val="24"/>
                                        <w:sz w:val="15"/>
                                        <w:szCs w:val="15"/>
                                        <w:lang w:bidi="ru-RU"/>
                                      </w:rPr>
                                      <w:t>1,0</w:t>
                                    </w:r>
                                  </w:p>
                                </w:txbxContent>
                              </v:textbox>
                            </v:rect>
                            <v:rect id="Прямоугольник 73" o:spid="_x0000_s1049" style="position:absolute;left:21606;top:22521;width:1194;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" stroked="f">
                              <v:textbox inset="0,0,0,0">
                                <w:txbxContent>
                                  <w:p w14:paraId="1F255978" w14:textId="77777777" w:rsidR="00B667F4" w:rsidRDefault="00B667F4" w:rsidP="00B667F4">
                                    <w:pPr>
                                      <w:pStyle w:val="af1"/>
                                      <w:spacing w:before="0" w:beforeAutospacing="0" w:after="0" w:afterAutospacing="0"/>
                                      <w:jc w:val="right"/>
                                    </w:pPr>
                                    <w:r>
                                      <w:rPr>
                                        <w:rFonts w:cstheme="minorBidi"/>
                                        <w:b/>
                                        <w:color w:val="000000" w:themeColor="text1"/>
                                        <w:kern w:val="24"/>
                                        <w:sz w:val="15"/>
                                        <w:szCs w:val="15"/>
                                        <w:lang w:bidi="ru-RU"/>
                                      </w:rPr>
                                      <w:t>2,0</w:t>
                                    </w:r>
                                  </w:p>
                                </w:txbxContent>
                              </v:textbox>
                            </v:rect>
                          </v:group>
                        </w:pict>
                      </mc:Fallback>
                    </mc:AlternateContent>
                  </w:r>
                  <w:r w:rsidRPr="00B45667">
                    <w:rPr>
                      <w:rFonts w:eastAsia="Times New Roman" w:cs="Times New Roman"/>
                      <w:b/>
                      <w:sz w:val="15"/>
                      <w:szCs w:val="15"/>
                      <w:lang w:bidi="ru-RU"/>
                    </w:rPr>
                    <w:t xml:space="preserve">Самая высокая </w:t>
                  </w:r>
                  <w:r w:rsidRPr="00B45667">
                    <w:rPr>
                      <w:rFonts w:eastAsia="Times New Roman" w:cs="Times New Roman"/>
                      <w:i/>
                      <w:sz w:val="15"/>
                      <w:szCs w:val="15"/>
                      <w:lang w:bidi="ru-RU"/>
                    </w:rPr>
                    <w:t>по сравнению</w:t>
                  </w:r>
                  <w:r w:rsidRPr="00B45667">
                    <w:rPr>
                      <w:rFonts w:eastAsia="Times New Roman" w:cs="Times New Roman"/>
                      <w:b/>
                      <w:sz w:val="15"/>
                      <w:szCs w:val="15"/>
                      <w:lang w:bidi="ru-RU"/>
                    </w:rPr>
                    <w:t xml:space="preserve"> с самой низкой</w:t>
                  </w:r>
                </w:p>
              </w:tc>
              <w:tc>
                <w:tcPr>
                  <w:tcW w:w="1166" w:type="dxa"/>
                  <w:tcBorders>
                    <w:top w:val="single" w:sz="4" w:space="0" w:color="BFBFBF" w:themeColor="background1" w:themeShade="BF"/>
                  </w:tcBorders>
                  <w:shd w:val="clear" w:color="auto" w:fill="auto"/>
                  <w:vAlign w:val="center"/>
                </w:tcPr>
                <w:p w14:paraId="562F57DA" w14:textId="77777777" w:rsidR="00B667F4" w:rsidRPr="00B45667" w:rsidRDefault="00B667F4" w:rsidP="00B667F4">
                  <w:pPr>
                    <w:rPr>
                      <w:rFonts w:cs="Times New Roman"/>
                      <w:sz w:val="15"/>
                      <w:szCs w:val="15"/>
                    </w:rPr>
                  </w:pPr>
                </w:p>
              </w:tc>
              <w:tc>
                <w:tcPr>
                  <w:tcW w:w="754" w:type="dxa"/>
                  <w:tcBorders>
                    <w:top w:val="single" w:sz="4" w:space="0" w:color="BFBFBF" w:themeColor="background1" w:themeShade="BF"/>
                  </w:tcBorders>
                  <w:shd w:val="clear" w:color="auto" w:fill="auto"/>
                  <w:vAlign w:val="center"/>
                </w:tcPr>
                <w:p w14:paraId="714A1D7C" w14:textId="77777777" w:rsidR="00B667F4" w:rsidRPr="00B45667" w:rsidRDefault="00B667F4" w:rsidP="00B667F4">
                  <w:pPr>
                    <w:rPr>
                      <w:rFonts w:cs="Times New Roman"/>
                      <w:sz w:val="15"/>
                      <w:szCs w:val="15"/>
                    </w:rPr>
                  </w:pPr>
                </w:p>
              </w:tc>
            </w:tr>
            <w:tr w:rsidR="00B667F4" w:rsidRPr="00B45667" w14:paraId="08F0FDE9" w14:textId="77777777" w:rsidTr="001A7DA3">
              <w:trPr>
                <w:trHeight w:val="244"/>
                <w:jc w:val="center"/>
              </w:trPr>
              <w:tc>
                <w:tcPr>
                  <w:tcW w:w="1138" w:type="dxa"/>
                  <w:shd w:val="clear" w:color="auto" w:fill="auto"/>
                </w:tcPr>
                <w:p w14:paraId="710B48A8"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Peacock-женщины</w:t>
                  </w:r>
                </w:p>
              </w:tc>
              <w:tc>
                <w:tcPr>
                  <w:tcW w:w="470" w:type="dxa"/>
                  <w:shd w:val="clear" w:color="auto" w:fill="auto"/>
                </w:tcPr>
                <w:p w14:paraId="58EF3CE1"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1999</w:t>
                  </w:r>
                </w:p>
              </w:tc>
              <w:tc>
                <w:tcPr>
                  <w:tcW w:w="3274" w:type="dxa"/>
                  <w:shd w:val="clear" w:color="auto" w:fill="auto"/>
                </w:tcPr>
                <w:p w14:paraId="6CFF7AA6" w14:textId="77777777" w:rsidR="00B667F4" w:rsidRPr="00B45667" w:rsidRDefault="00B667F4" w:rsidP="00B667F4">
                  <w:pPr>
                    <w:rPr>
                      <w:rFonts w:cs="Times New Roman"/>
                      <w:sz w:val="15"/>
                      <w:szCs w:val="15"/>
                    </w:rPr>
                  </w:pPr>
                </w:p>
              </w:tc>
              <w:tc>
                <w:tcPr>
                  <w:tcW w:w="1166" w:type="dxa"/>
                  <w:shd w:val="clear" w:color="auto" w:fill="auto"/>
                </w:tcPr>
                <w:p w14:paraId="20111643"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0,76 (0,58‒0,99)</w:t>
                  </w:r>
                </w:p>
              </w:tc>
              <w:tc>
                <w:tcPr>
                  <w:tcW w:w="754" w:type="dxa"/>
                  <w:shd w:val="clear" w:color="auto" w:fill="auto"/>
                </w:tcPr>
                <w:p w14:paraId="4A8FC7CE"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19,98</w:t>
                  </w:r>
                </w:p>
              </w:tc>
            </w:tr>
            <w:tr w:rsidR="00B667F4" w:rsidRPr="00B45667" w14:paraId="1E01E811" w14:textId="77777777" w:rsidTr="001A7DA3">
              <w:trPr>
                <w:trHeight w:val="244"/>
                <w:jc w:val="center"/>
              </w:trPr>
              <w:tc>
                <w:tcPr>
                  <w:tcW w:w="1138" w:type="dxa"/>
                  <w:shd w:val="clear" w:color="auto" w:fill="auto"/>
                </w:tcPr>
                <w:p w14:paraId="20497F7B"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Peacock-мужчины</w:t>
                  </w:r>
                </w:p>
              </w:tc>
              <w:tc>
                <w:tcPr>
                  <w:tcW w:w="470" w:type="dxa"/>
                  <w:shd w:val="clear" w:color="auto" w:fill="auto"/>
                </w:tcPr>
                <w:p w14:paraId="3EAC4F20"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1999</w:t>
                  </w:r>
                </w:p>
              </w:tc>
              <w:tc>
                <w:tcPr>
                  <w:tcW w:w="3274" w:type="dxa"/>
                  <w:shd w:val="clear" w:color="auto" w:fill="auto"/>
                </w:tcPr>
                <w:p w14:paraId="7364565D" w14:textId="77777777" w:rsidR="00B667F4" w:rsidRPr="00B45667" w:rsidRDefault="00B667F4" w:rsidP="00B667F4">
                  <w:pPr>
                    <w:rPr>
                      <w:rFonts w:cs="Times New Roman"/>
                      <w:sz w:val="15"/>
                      <w:szCs w:val="15"/>
                    </w:rPr>
                  </w:pPr>
                </w:p>
              </w:tc>
              <w:tc>
                <w:tcPr>
                  <w:tcW w:w="1166" w:type="dxa"/>
                  <w:shd w:val="clear" w:color="auto" w:fill="auto"/>
                </w:tcPr>
                <w:p w14:paraId="6B522285"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0,90 (0,68‒1,19)</w:t>
                  </w:r>
                </w:p>
              </w:tc>
              <w:tc>
                <w:tcPr>
                  <w:tcW w:w="754" w:type="dxa"/>
                  <w:shd w:val="clear" w:color="auto" w:fill="auto"/>
                </w:tcPr>
                <w:p w14:paraId="49034885"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18,80</w:t>
                  </w:r>
                </w:p>
              </w:tc>
            </w:tr>
            <w:tr w:rsidR="00B667F4" w:rsidRPr="00B45667" w14:paraId="652AEB9E" w14:textId="77777777" w:rsidTr="001A7DA3">
              <w:trPr>
                <w:trHeight w:val="244"/>
                <w:jc w:val="center"/>
              </w:trPr>
              <w:tc>
                <w:tcPr>
                  <w:tcW w:w="1138" w:type="dxa"/>
                  <w:shd w:val="clear" w:color="auto" w:fill="auto"/>
                </w:tcPr>
                <w:p w14:paraId="4A308E2C"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Khan</w:t>
                  </w:r>
                </w:p>
              </w:tc>
              <w:tc>
                <w:tcPr>
                  <w:tcW w:w="470" w:type="dxa"/>
                  <w:shd w:val="clear" w:color="auto" w:fill="auto"/>
                </w:tcPr>
                <w:p w14:paraId="43CAF817"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2010</w:t>
                  </w:r>
                </w:p>
              </w:tc>
              <w:tc>
                <w:tcPr>
                  <w:tcW w:w="3274" w:type="dxa"/>
                  <w:shd w:val="clear" w:color="auto" w:fill="auto"/>
                </w:tcPr>
                <w:p w14:paraId="5C9C567B" w14:textId="77777777" w:rsidR="00B667F4" w:rsidRPr="00B45667" w:rsidRDefault="00B667F4" w:rsidP="00B667F4">
                  <w:pPr>
                    <w:rPr>
                      <w:rFonts w:cs="Times New Roman"/>
                      <w:sz w:val="15"/>
                      <w:szCs w:val="15"/>
                    </w:rPr>
                  </w:pPr>
                </w:p>
              </w:tc>
              <w:tc>
                <w:tcPr>
                  <w:tcW w:w="1166" w:type="dxa"/>
                  <w:shd w:val="clear" w:color="auto" w:fill="auto"/>
                </w:tcPr>
                <w:p w14:paraId="74AE9B80"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1,03 (0,75‒1,41)</w:t>
                  </w:r>
                </w:p>
              </w:tc>
              <w:tc>
                <w:tcPr>
                  <w:tcW w:w="754" w:type="dxa"/>
                  <w:shd w:val="clear" w:color="auto" w:fill="auto"/>
                </w:tcPr>
                <w:p w14:paraId="69907023"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14,33</w:t>
                  </w:r>
                </w:p>
              </w:tc>
            </w:tr>
            <w:tr w:rsidR="00B667F4" w:rsidRPr="00B45667" w14:paraId="2BA94666" w14:textId="77777777" w:rsidTr="001A7DA3">
              <w:trPr>
                <w:trHeight w:val="170"/>
                <w:jc w:val="center"/>
              </w:trPr>
              <w:tc>
                <w:tcPr>
                  <w:tcW w:w="1138" w:type="dxa"/>
                  <w:shd w:val="clear" w:color="auto" w:fill="auto"/>
                </w:tcPr>
                <w:p w14:paraId="3A9E04BC"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Joosten</w:t>
                  </w:r>
                </w:p>
              </w:tc>
              <w:tc>
                <w:tcPr>
                  <w:tcW w:w="470" w:type="dxa"/>
                  <w:shd w:val="clear" w:color="auto" w:fill="auto"/>
                </w:tcPr>
                <w:p w14:paraId="5B286F32"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2013</w:t>
                  </w:r>
                </w:p>
              </w:tc>
              <w:tc>
                <w:tcPr>
                  <w:tcW w:w="3274" w:type="dxa"/>
                  <w:shd w:val="clear" w:color="auto" w:fill="auto"/>
                </w:tcPr>
                <w:p w14:paraId="393EB545" w14:textId="77777777" w:rsidR="00B667F4" w:rsidRPr="00B45667" w:rsidRDefault="00B667F4" w:rsidP="00B667F4">
                  <w:pPr>
                    <w:rPr>
                      <w:rFonts w:cs="Times New Roman"/>
                      <w:sz w:val="15"/>
                      <w:szCs w:val="15"/>
                    </w:rPr>
                  </w:pPr>
                </w:p>
              </w:tc>
              <w:tc>
                <w:tcPr>
                  <w:tcW w:w="1166" w:type="dxa"/>
                  <w:shd w:val="clear" w:color="auto" w:fill="auto"/>
                </w:tcPr>
                <w:p w14:paraId="35BCE552"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0,94 (0,79‒1,12)</w:t>
                  </w:r>
                </w:p>
              </w:tc>
              <w:tc>
                <w:tcPr>
                  <w:tcW w:w="754" w:type="dxa"/>
                  <w:shd w:val="clear" w:color="auto" w:fill="auto"/>
                </w:tcPr>
                <w:p w14:paraId="2AB638AE"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46,88</w:t>
                  </w:r>
                </w:p>
              </w:tc>
            </w:tr>
            <w:tr w:rsidR="00B667F4" w:rsidRPr="00B45667" w14:paraId="37BD0DF4" w14:textId="77777777" w:rsidTr="001A7DA3">
              <w:trPr>
                <w:trHeight w:val="244"/>
                <w:jc w:val="center"/>
              </w:trPr>
              <w:tc>
                <w:tcPr>
                  <w:tcW w:w="4882" w:type="dxa"/>
                  <w:gridSpan w:val="3"/>
                  <w:shd w:val="clear" w:color="auto" w:fill="auto"/>
                </w:tcPr>
                <w:p w14:paraId="17FE9312"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 xml:space="preserve">Неоднородность </w:t>
                  </w:r>
                  <w:r w:rsidRPr="00B45667">
                    <w:rPr>
                      <w:rFonts w:eastAsia="Times New Roman" w:cs="Times New Roman"/>
                      <w:i/>
                      <w:sz w:val="15"/>
                      <w:szCs w:val="15"/>
                      <w:lang w:bidi="ru-RU"/>
                    </w:rPr>
                    <w:t>(I</w:t>
                  </w:r>
                  <w:r w:rsidRPr="00B45667">
                    <w:rPr>
                      <w:rFonts w:eastAsia="Times New Roman" w:cs="Times New Roman"/>
                      <w:i/>
                      <w:sz w:val="15"/>
                      <w:szCs w:val="15"/>
                      <w:vertAlign w:val="superscript"/>
                      <w:lang w:bidi="ru-RU"/>
                    </w:rPr>
                    <w:t>2</w:t>
                  </w:r>
                  <w:r w:rsidRPr="00B45667">
                    <w:rPr>
                      <w:rFonts w:eastAsia="Times New Roman" w:cs="Times New Roman"/>
                      <w:i/>
                      <w:sz w:val="15"/>
                      <w:szCs w:val="15"/>
                      <w:lang w:bidi="ru-RU"/>
                    </w:rPr>
                    <w:t> =</w:t>
                  </w:r>
                  <w:r w:rsidRPr="00B45667">
                    <w:rPr>
                      <w:rFonts w:eastAsia="Times New Roman" w:cs="Times New Roman"/>
                      <w:sz w:val="15"/>
                      <w:szCs w:val="15"/>
                      <w:lang w:bidi="ru-RU"/>
                    </w:rPr>
                    <w:t xml:space="preserve"> 0,0 %, </w:t>
                  </w:r>
                  <w:r w:rsidRPr="00B45667">
                    <w:rPr>
                      <w:rFonts w:eastAsia="Times New Roman" w:cs="Times New Roman"/>
                      <w:i/>
                      <w:sz w:val="15"/>
                      <w:szCs w:val="15"/>
                      <w:lang w:bidi="ru-RU"/>
                    </w:rPr>
                    <w:t>P</w:t>
                  </w:r>
                  <w:r w:rsidRPr="00B45667">
                    <w:rPr>
                      <w:rFonts w:eastAsia="Times New Roman" w:cs="Times New Roman"/>
                      <w:sz w:val="15"/>
                      <w:szCs w:val="15"/>
                      <w:lang w:bidi="ru-RU"/>
                    </w:rPr>
                    <w:t> = 0,48)</w:t>
                  </w:r>
                </w:p>
              </w:tc>
              <w:tc>
                <w:tcPr>
                  <w:tcW w:w="1166" w:type="dxa"/>
                  <w:shd w:val="clear" w:color="auto" w:fill="auto"/>
                </w:tcPr>
                <w:p w14:paraId="1C5CCF1E"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b/>
                      <w:sz w:val="15"/>
                      <w:szCs w:val="15"/>
                      <w:lang w:bidi="ru-RU"/>
                    </w:rPr>
                    <w:t>0,91 (0,80‒1,02)</w:t>
                  </w:r>
                </w:p>
              </w:tc>
              <w:tc>
                <w:tcPr>
                  <w:tcW w:w="754" w:type="dxa"/>
                  <w:shd w:val="clear" w:color="auto" w:fill="auto"/>
                </w:tcPr>
                <w:p w14:paraId="2F826081"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b/>
                      <w:sz w:val="15"/>
                      <w:szCs w:val="15"/>
                      <w:lang w:bidi="ru-RU"/>
                    </w:rPr>
                    <w:t>100,00</w:t>
                  </w:r>
                </w:p>
              </w:tc>
            </w:tr>
            <w:tr w:rsidR="00B667F4" w:rsidRPr="00B45667" w14:paraId="013C867D" w14:textId="77777777" w:rsidTr="001A7DA3">
              <w:trPr>
                <w:trHeight w:val="162"/>
                <w:jc w:val="center"/>
              </w:trPr>
              <w:tc>
                <w:tcPr>
                  <w:tcW w:w="1138" w:type="dxa"/>
                  <w:shd w:val="clear" w:color="auto" w:fill="auto"/>
                </w:tcPr>
                <w:p w14:paraId="6ACD225A" w14:textId="77777777" w:rsidR="00B667F4" w:rsidRPr="00B45667" w:rsidRDefault="00B667F4" w:rsidP="00B667F4">
                  <w:pPr>
                    <w:rPr>
                      <w:rFonts w:cs="Times New Roman"/>
                      <w:sz w:val="15"/>
                      <w:szCs w:val="15"/>
                    </w:rPr>
                  </w:pPr>
                </w:p>
              </w:tc>
              <w:tc>
                <w:tcPr>
                  <w:tcW w:w="470" w:type="dxa"/>
                  <w:shd w:val="clear" w:color="auto" w:fill="auto"/>
                </w:tcPr>
                <w:p w14:paraId="5AABD94B" w14:textId="77777777" w:rsidR="00B667F4" w:rsidRPr="00B45667" w:rsidRDefault="00B667F4" w:rsidP="00B667F4">
                  <w:pPr>
                    <w:rPr>
                      <w:rFonts w:cs="Times New Roman"/>
                      <w:sz w:val="15"/>
                      <w:szCs w:val="15"/>
                    </w:rPr>
                  </w:pPr>
                </w:p>
              </w:tc>
              <w:tc>
                <w:tcPr>
                  <w:tcW w:w="3274" w:type="dxa"/>
                  <w:shd w:val="clear" w:color="auto" w:fill="auto"/>
                </w:tcPr>
                <w:p w14:paraId="0DBC032B" w14:textId="77777777" w:rsidR="00B667F4" w:rsidRPr="00B45667" w:rsidRDefault="00B667F4" w:rsidP="00B667F4">
                  <w:pPr>
                    <w:rPr>
                      <w:rFonts w:cs="Times New Roman"/>
                      <w:sz w:val="15"/>
                      <w:szCs w:val="15"/>
                    </w:rPr>
                  </w:pPr>
                </w:p>
              </w:tc>
              <w:tc>
                <w:tcPr>
                  <w:tcW w:w="1166" w:type="dxa"/>
                  <w:shd w:val="clear" w:color="auto" w:fill="auto"/>
                </w:tcPr>
                <w:p w14:paraId="00D231D6" w14:textId="77777777" w:rsidR="00B667F4" w:rsidRPr="00B45667" w:rsidRDefault="00B667F4" w:rsidP="00B667F4">
                  <w:pPr>
                    <w:jc w:val="center"/>
                    <w:rPr>
                      <w:rFonts w:cs="Times New Roman"/>
                      <w:sz w:val="15"/>
                      <w:szCs w:val="15"/>
                    </w:rPr>
                  </w:pPr>
                </w:p>
              </w:tc>
              <w:tc>
                <w:tcPr>
                  <w:tcW w:w="754" w:type="dxa"/>
                  <w:shd w:val="clear" w:color="auto" w:fill="auto"/>
                </w:tcPr>
                <w:p w14:paraId="1ACE8E79" w14:textId="77777777" w:rsidR="00B667F4" w:rsidRPr="00B45667" w:rsidRDefault="00B667F4" w:rsidP="00B667F4">
                  <w:pPr>
                    <w:jc w:val="right"/>
                    <w:rPr>
                      <w:rFonts w:cs="Times New Roman"/>
                      <w:sz w:val="15"/>
                      <w:szCs w:val="15"/>
                    </w:rPr>
                  </w:pPr>
                </w:p>
              </w:tc>
            </w:tr>
            <w:tr w:rsidR="00B667F4" w:rsidRPr="00B45667" w14:paraId="140CB4CD" w14:textId="77777777" w:rsidTr="001A7DA3">
              <w:trPr>
                <w:trHeight w:val="238"/>
                <w:jc w:val="center"/>
              </w:trPr>
              <w:tc>
                <w:tcPr>
                  <w:tcW w:w="4882" w:type="dxa"/>
                  <w:gridSpan w:val="3"/>
                  <w:shd w:val="clear" w:color="auto" w:fill="auto"/>
                </w:tcPr>
                <w:p w14:paraId="0A000FD1" w14:textId="77777777" w:rsidR="00B667F4" w:rsidRPr="00B45667" w:rsidRDefault="00B667F4" w:rsidP="00B667F4">
                  <w:pPr>
                    <w:pStyle w:val="a4"/>
                    <w:shd w:val="clear" w:color="auto" w:fill="auto"/>
                    <w:spacing w:line="240" w:lineRule="auto"/>
                    <w:rPr>
                      <w:rFonts w:cs="Times New Roman"/>
                      <w:sz w:val="15"/>
                      <w:szCs w:val="15"/>
                      <w:lang w:val="it-IT"/>
                    </w:rPr>
                  </w:pPr>
                  <w:r w:rsidRPr="00B45667">
                    <w:rPr>
                      <w:rFonts w:eastAsia="Times New Roman" w:cs="Times New Roman"/>
                      <w:b/>
                      <w:sz w:val="15"/>
                      <w:szCs w:val="15"/>
                      <w:lang w:bidi="ru-RU"/>
                    </w:rPr>
                    <w:t>Пошаговое увеличение на 0,1 ммоль/л</w:t>
                  </w:r>
                </w:p>
              </w:tc>
              <w:tc>
                <w:tcPr>
                  <w:tcW w:w="1166" w:type="dxa"/>
                  <w:shd w:val="clear" w:color="auto" w:fill="auto"/>
                </w:tcPr>
                <w:p w14:paraId="3F6B68B5" w14:textId="77777777" w:rsidR="00B667F4" w:rsidRPr="00B45667" w:rsidRDefault="00B667F4" w:rsidP="00B667F4">
                  <w:pPr>
                    <w:jc w:val="center"/>
                    <w:rPr>
                      <w:rFonts w:cs="Times New Roman"/>
                      <w:sz w:val="15"/>
                      <w:szCs w:val="15"/>
                      <w:lang w:val="it-IT"/>
                    </w:rPr>
                  </w:pPr>
                </w:p>
              </w:tc>
              <w:tc>
                <w:tcPr>
                  <w:tcW w:w="754" w:type="dxa"/>
                  <w:shd w:val="clear" w:color="auto" w:fill="auto"/>
                </w:tcPr>
                <w:p w14:paraId="169CAFB0" w14:textId="77777777" w:rsidR="00B667F4" w:rsidRPr="00B45667" w:rsidRDefault="00B667F4" w:rsidP="00B667F4">
                  <w:pPr>
                    <w:jc w:val="right"/>
                    <w:rPr>
                      <w:rFonts w:cs="Times New Roman"/>
                      <w:sz w:val="15"/>
                      <w:szCs w:val="15"/>
                      <w:lang w:val="it-IT"/>
                    </w:rPr>
                  </w:pPr>
                </w:p>
              </w:tc>
            </w:tr>
            <w:tr w:rsidR="00B667F4" w:rsidRPr="00B45667" w14:paraId="24E78642" w14:textId="77777777" w:rsidTr="001A7DA3">
              <w:trPr>
                <w:trHeight w:val="215"/>
                <w:jc w:val="center"/>
              </w:trPr>
              <w:tc>
                <w:tcPr>
                  <w:tcW w:w="1138" w:type="dxa"/>
                  <w:shd w:val="clear" w:color="auto" w:fill="auto"/>
                </w:tcPr>
                <w:p w14:paraId="4680E959"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Peacock-женщины</w:t>
                  </w:r>
                </w:p>
              </w:tc>
              <w:tc>
                <w:tcPr>
                  <w:tcW w:w="470" w:type="dxa"/>
                  <w:shd w:val="clear" w:color="auto" w:fill="auto"/>
                </w:tcPr>
                <w:p w14:paraId="5A84E31B"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1999</w:t>
                  </w:r>
                </w:p>
              </w:tc>
              <w:tc>
                <w:tcPr>
                  <w:tcW w:w="3274" w:type="dxa"/>
                  <w:shd w:val="clear" w:color="auto" w:fill="auto"/>
                </w:tcPr>
                <w:p w14:paraId="3709729A" w14:textId="77777777" w:rsidR="00B667F4" w:rsidRPr="00B45667" w:rsidRDefault="00B667F4" w:rsidP="00B667F4">
                  <w:pPr>
                    <w:pStyle w:val="a4"/>
                    <w:shd w:val="clear" w:color="auto" w:fill="auto"/>
                    <w:spacing w:line="240" w:lineRule="auto"/>
                    <w:rPr>
                      <w:rFonts w:cs="Times New Roman"/>
                      <w:sz w:val="15"/>
                      <w:szCs w:val="15"/>
                    </w:rPr>
                  </w:pPr>
                </w:p>
              </w:tc>
              <w:tc>
                <w:tcPr>
                  <w:tcW w:w="1166" w:type="dxa"/>
                  <w:shd w:val="clear" w:color="auto" w:fill="auto"/>
                </w:tcPr>
                <w:p w14:paraId="007E5817"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0,95 (0,91‒1,00)</w:t>
                  </w:r>
                </w:p>
              </w:tc>
              <w:tc>
                <w:tcPr>
                  <w:tcW w:w="754" w:type="dxa"/>
                  <w:shd w:val="clear" w:color="auto" w:fill="auto"/>
                </w:tcPr>
                <w:p w14:paraId="0A060B2D"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45,10</w:t>
                  </w:r>
                </w:p>
              </w:tc>
            </w:tr>
            <w:tr w:rsidR="00B667F4" w:rsidRPr="00B45667" w14:paraId="3FDD6F44" w14:textId="77777777" w:rsidTr="001A7DA3">
              <w:trPr>
                <w:trHeight w:val="215"/>
                <w:jc w:val="center"/>
              </w:trPr>
              <w:tc>
                <w:tcPr>
                  <w:tcW w:w="1138" w:type="dxa"/>
                  <w:shd w:val="clear" w:color="auto" w:fill="auto"/>
                </w:tcPr>
                <w:p w14:paraId="611646D6"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Peacock-мужчины</w:t>
                  </w:r>
                </w:p>
              </w:tc>
              <w:tc>
                <w:tcPr>
                  <w:tcW w:w="470" w:type="dxa"/>
                  <w:shd w:val="clear" w:color="auto" w:fill="auto"/>
                </w:tcPr>
                <w:p w14:paraId="2EA8726C"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1999</w:t>
                  </w:r>
                </w:p>
              </w:tc>
              <w:tc>
                <w:tcPr>
                  <w:tcW w:w="3274" w:type="dxa"/>
                  <w:shd w:val="clear" w:color="auto" w:fill="auto"/>
                </w:tcPr>
                <w:p w14:paraId="0F3A5FF8" w14:textId="77777777" w:rsidR="00B667F4" w:rsidRPr="00B45667" w:rsidRDefault="00B667F4" w:rsidP="00B667F4">
                  <w:pPr>
                    <w:rPr>
                      <w:rFonts w:cs="Times New Roman"/>
                      <w:sz w:val="15"/>
                      <w:szCs w:val="15"/>
                    </w:rPr>
                  </w:pPr>
                </w:p>
              </w:tc>
              <w:tc>
                <w:tcPr>
                  <w:tcW w:w="1166" w:type="dxa"/>
                  <w:shd w:val="clear" w:color="auto" w:fill="auto"/>
                </w:tcPr>
                <w:p w14:paraId="4D80728D"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0,97 (0,93‒1,02)</w:t>
                  </w:r>
                </w:p>
              </w:tc>
              <w:tc>
                <w:tcPr>
                  <w:tcW w:w="754" w:type="dxa"/>
                  <w:shd w:val="clear" w:color="auto" w:fill="auto"/>
                </w:tcPr>
                <w:p w14:paraId="53B773AC"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45,36</w:t>
                  </w:r>
                </w:p>
              </w:tc>
            </w:tr>
            <w:tr w:rsidR="00B667F4" w:rsidRPr="00B45667" w14:paraId="151EFFAC" w14:textId="77777777" w:rsidTr="001A7DA3">
              <w:trPr>
                <w:trHeight w:val="215"/>
                <w:jc w:val="center"/>
              </w:trPr>
              <w:tc>
                <w:tcPr>
                  <w:tcW w:w="1138" w:type="dxa"/>
                  <w:shd w:val="clear" w:color="auto" w:fill="auto"/>
                </w:tcPr>
                <w:p w14:paraId="2D025F1E"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Khan</w:t>
                  </w:r>
                </w:p>
              </w:tc>
              <w:tc>
                <w:tcPr>
                  <w:tcW w:w="470" w:type="dxa"/>
                  <w:shd w:val="clear" w:color="auto" w:fill="auto"/>
                </w:tcPr>
                <w:p w14:paraId="4F07CC74"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2010</w:t>
                  </w:r>
                </w:p>
              </w:tc>
              <w:tc>
                <w:tcPr>
                  <w:tcW w:w="3274" w:type="dxa"/>
                  <w:shd w:val="clear" w:color="auto" w:fill="auto"/>
                </w:tcPr>
                <w:p w14:paraId="793B4DB6" w14:textId="77777777" w:rsidR="00B667F4" w:rsidRPr="00B45667" w:rsidRDefault="00B667F4" w:rsidP="00B667F4">
                  <w:pPr>
                    <w:rPr>
                      <w:rFonts w:cs="Times New Roman"/>
                      <w:sz w:val="15"/>
                      <w:szCs w:val="15"/>
                    </w:rPr>
                  </w:pPr>
                </w:p>
              </w:tc>
              <w:tc>
                <w:tcPr>
                  <w:tcW w:w="1166" w:type="dxa"/>
                  <w:shd w:val="clear" w:color="auto" w:fill="auto"/>
                </w:tcPr>
                <w:p w14:paraId="73213B92"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1,05 (0,88–1,26)</w:t>
                  </w:r>
                </w:p>
              </w:tc>
              <w:tc>
                <w:tcPr>
                  <w:tcW w:w="754" w:type="dxa"/>
                  <w:shd w:val="clear" w:color="auto" w:fill="auto"/>
                </w:tcPr>
                <w:p w14:paraId="5CF74500"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2,83</w:t>
                  </w:r>
                </w:p>
              </w:tc>
            </w:tr>
            <w:tr w:rsidR="00B667F4" w:rsidRPr="00B45667" w14:paraId="58E2522E" w14:textId="77777777" w:rsidTr="001A7DA3">
              <w:trPr>
                <w:trHeight w:val="215"/>
                <w:jc w:val="center"/>
              </w:trPr>
              <w:tc>
                <w:tcPr>
                  <w:tcW w:w="1138" w:type="dxa"/>
                  <w:shd w:val="clear" w:color="auto" w:fill="auto"/>
                </w:tcPr>
                <w:p w14:paraId="614327D3"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Joosten</w:t>
                  </w:r>
                </w:p>
              </w:tc>
              <w:tc>
                <w:tcPr>
                  <w:tcW w:w="470" w:type="dxa"/>
                  <w:shd w:val="clear" w:color="auto" w:fill="auto"/>
                </w:tcPr>
                <w:p w14:paraId="685BA849" w14:textId="77777777" w:rsidR="00B667F4" w:rsidRPr="00B45667" w:rsidRDefault="00B667F4" w:rsidP="00B667F4">
                  <w:pPr>
                    <w:pStyle w:val="a4"/>
                    <w:shd w:val="clear" w:color="auto" w:fill="auto"/>
                    <w:spacing w:line="240" w:lineRule="auto"/>
                    <w:rPr>
                      <w:rFonts w:cs="Times New Roman"/>
                      <w:sz w:val="15"/>
                      <w:szCs w:val="15"/>
                    </w:rPr>
                  </w:pPr>
                  <w:r w:rsidRPr="00B45667">
                    <w:rPr>
                      <w:rFonts w:eastAsia="Times New Roman" w:cs="Times New Roman"/>
                      <w:sz w:val="15"/>
                      <w:szCs w:val="15"/>
                      <w:lang w:bidi="ru-RU"/>
                    </w:rPr>
                    <w:t>2013</w:t>
                  </w:r>
                </w:p>
              </w:tc>
              <w:tc>
                <w:tcPr>
                  <w:tcW w:w="3274" w:type="dxa"/>
                  <w:shd w:val="clear" w:color="auto" w:fill="auto"/>
                </w:tcPr>
                <w:p w14:paraId="1F53E22C" w14:textId="77777777" w:rsidR="00B667F4" w:rsidRPr="00B45667" w:rsidRDefault="00B667F4" w:rsidP="00B667F4">
                  <w:pPr>
                    <w:rPr>
                      <w:rFonts w:cs="Times New Roman"/>
                      <w:sz w:val="15"/>
                      <w:szCs w:val="15"/>
                    </w:rPr>
                  </w:pPr>
                </w:p>
              </w:tc>
              <w:tc>
                <w:tcPr>
                  <w:tcW w:w="1166" w:type="dxa"/>
                  <w:shd w:val="clear" w:color="auto" w:fill="auto"/>
                </w:tcPr>
                <w:p w14:paraId="701869CE"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sz w:val="15"/>
                      <w:szCs w:val="15"/>
                      <w:lang w:bidi="ru-RU"/>
                    </w:rPr>
                    <w:t>0,94 (0,84‒1,06)</w:t>
                  </w:r>
                </w:p>
              </w:tc>
              <w:tc>
                <w:tcPr>
                  <w:tcW w:w="754" w:type="dxa"/>
                  <w:shd w:val="clear" w:color="auto" w:fill="auto"/>
                </w:tcPr>
                <w:p w14:paraId="739FEA09"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sz w:val="15"/>
                      <w:szCs w:val="15"/>
                      <w:lang w:bidi="ru-RU"/>
                    </w:rPr>
                    <w:t>6,71</w:t>
                  </w:r>
                </w:p>
              </w:tc>
            </w:tr>
            <w:tr w:rsidR="00B667F4" w:rsidRPr="00B45667" w14:paraId="14F869C0" w14:textId="77777777" w:rsidTr="001A7DA3">
              <w:trPr>
                <w:trHeight w:val="244"/>
                <w:jc w:val="center"/>
              </w:trPr>
              <w:tc>
                <w:tcPr>
                  <w:tcW w:w="4882" w:type="dxa"/>
                  <w:gridSpan w:val="3"/>
                  <w:shd w:val="clear" w:color="auto" w:fill="auto"/>
                </w:tcPr>
                <w:p w14:paraId="7D7792BD" w14:textId="77777777" w:rsidR="00B667F4" w:rsidRPr="00B45667" w:rsidRDefault="00B667F4" w:rsidP="00B667F4">
                  <w:pPr>
                    <w:pStyle w:val="a4"/>
                    <w:shd w:val="clear" w:color="auto" w:fill="auto"/>
                    <w:tabs>
                      <w:tab w:val="left" w:pos="2986"/>
                    </w:tabs>
                    <w:spacing w:line="240" w:lineRule="auto"/>
                    <w:rPr>
                      <w:rFonts w:cs="Times New Roman"/>
                      <w:sz w:val="15"/>
                      <w:szCs w:val="15"/>
                    </w:rPr>
                  </w:pPr>
                  <w:r w:rsidRPr="00B45667">
                    <w:rPr>
                      <w:rFonts w:eastAsia="Times New Roman" w:cs="Times New Roman"/>
                      <w:sz w:val="15"/>
                      <w:szCs w:val="15"/>
                      <w:lang w:bidi="ru-RU"/>
                    </w:rPr>
                    <w:t>Неоднородность (</w:t>
                  </w:r>
                  <w:r w:rsidRPr="00B45667">
                    <w:rPr>
                      <w:rFonts w:eastAsia="Times New Roman" w:cs="Times New Roman"/>
                      <w:i/>
                      <w:sz w:val="15"/>
                      <w:szCs w:val="15"/>
                      <w:lang w:bidi="ru-RU"/>
                    </w:rPr>
                    <w:t>I</w:t>
                  </w:r>
                  <w:r w:rsidRPr="00B45667">
                    <w:rPr>
                      <w:rFonts w:eastAsia="Times New Roman" w:cs="Times New Roman"/>
                      <w:i/>
                      <w:sz w:val="15"/>
                      <w:szCs w:val="15"/>
                      <w:vertAlign w:val="superscript"/>
                      <w:lang w:bidi="ru-RU"/>
                    </w:rPr>
                    <w:t>2</w:t>
                  </w:r>
                  <w:r w:rsidRPr="00B45667">
                    <w:rPr>
                      <w:rFonts w:eastAsia="Times New Roman" w:cs="Times New Roman"/>
                      <w:sz w:val="15"/>
                      <w:szCs w:val="15"/>
                      <w:lang w:bidi="ru-RU"/>
                    </w:rPr>
                    <w:t xml:space="preserve"> = 0,0 %, </w:t>
                  </w:r>
                  <w:r w:rsidRPr="00B45667">
                    <w:rPr>
                      <w:rFonts w:eastAsia="Times New Roman" w:cs="Times New Roman"/>
                      <w:i/>
                      <w:sz w:val="15"/>
                      <w:szCs w:val="15"/>
                      <w:lang w:bidi="ru-RU"/>
                    </w:rPr>
                    <w:t>P</w:t>
                  </w:r>
                  <w:r w:rsidRPr="00B45667">
                    <w:rPr>
                      <w:rFonts w:eastAsia="Times New Roman" w:cs="Times New Roman"/>
                      <w:sz w:val="15"/>
                      <w:szCs w:val="15"/>
                      <w:lang w:bidi="ru-RU"/>
                    </w:rPr>
                    <w:t> = 0,69)</w:t>
                  </w:r>
                  <w:r w:rsidRPr="00B45667">
                    <w:rPr>
                      <w:rFonts w:cs="Times New Roman"/>
                      <w:noProof/>
                      <w:sz w:val="24"/>
                      <w:szCs w:val="24"/>
                      <w:lang w:bidi="ru-RU"/>
                    </w:rPr>
                    <w:t xml:space="preserve"> </w:t>
                  </w:r>
                </w:p>
              </w:tc>
              <w:tc>
                <w:tcPr>
                  <w:tcW w:w="1166" w:type="dxa"/>
                  <w:shd w:val="clear" w:color="auto" w:fill="auto"/>
                </w:tcPr>
                <w:p w14:paraId="6F45494E" w14:textId="77777777" w:rsidR="00B667F4" w:rsidRPr="00B45667" w:rsidRDefault="00B667F4" w:rsidP="00B667F4">
                  <w:pPr>
                    <w:pStyle w:val="a4"/>
                    <w:shd w:val="clear" w:color="auto" w:fill="auto"/>
                    <w:spacing w:line="240" w:lineRule="auto"/>
                    <w:jc w:val="center"/>
                    <w:rPr>
                      <w:rFonts w:cs="Times New Roman"/>
                      <w:sz w:val="15"/>
                      <w:szCs w:val="15"/>
                    </w:rPr>
                  </w:pPr>
                  <w:r w:rsidRPr="00B45667">
                    <w:rPr>
                      <w:rFonts w:eastAsia="Times New Roman" w:cs="Times New Roman"/>
                      <w:b/>
                      <w:sz w:val="15"/>
                      <w:szCs w:val="15"/>
                      <w:lang w:bidi="ru-RU"/>
                    </w:rPr>
                    <w:t>0,96 (0,93–0,99)</w:t>
                  </w:r>
                </w:p>
              </w:tc>
              <w:tc>
                <w:tcPr>
                  <w:tcW w:w="754" w:type="dxa"/>
                  <w:shd w:val="clear" w:color="auto" w:fill="auto"/>
                </w:tcPr>
                <w:p w14:paraId="501A1DDC" w14:textId="77777777" w:rsidR="00B667F4" w:rsidRPr="00B45667" w:rsidRDefault="00B667F4" w:rsidP="00B667F4">
                  <w:pPr>
                    <w:pStyle w:val="a4"/>
                    <w:shd w:val="clear" w:color="auto" w:fill="auto"/>
                    <w:spacing w:line="240" w:lineRule="auto"/>
                    <w:jc w:val="right"/>
                    <w:rPr>
                      <w:rFonts w:cs="Times New Roman"/>
                      <w:sz w:val="15"/>
                      <w:szCs w:val="15"/>
                    </w:rPr>
                  </w:pPr>
                  <w:r w:rsidRPr="00B45667">
                    <w:rPr>
                      <w:rFonts w:eastAsia="Times New Roman" w:cs="Times New Roman"/>
                      <w:b/>
                      <w:sz w:val="15"/>
                      <w:szCs w:val="15"/>
                      <w:lang w:bidi="ru-RU"/>
                    </w:rPr>
                    <w:t>100,00</w:t>
                  </w:r>
                </w:p>
              </w:tc>
            </w:tr>
          </w:tbl>
          <w:p w14:paraId="18FDA2A6" w14:textId="77777777" w:rsidR="00B667F4" w:rsidRPr="00B45667" w:rsidRDefault="00B667F4" w:rsidP="00B667F4">
            <w:pPr>
              <w:jc w:val="center"/>
              <w:rPr>
                <w:rFonts w:cs="Times New Roman"/>
                <w:sz w:val="8"/>
                <w:szCs w:val="8"/>
              </w:rPr>
            </w:pPr>
          </w:p>
          <w:p w14:paraId="5555811C" w14:textId="77777777" w:rsidR="00B667F4" w:rsidRPr="00B45667" w:rsidRDefault="00B667F4" w:rsidP="00971A85">
            <w:pPr>
              <w:widowControl/>
              <w:autoSpaceDE w:val="0"/>
              <w:autoSpaceDN w:val="0"/>
              <w:adjustRightInd w:val="0"/>
              <w:spacing w:before="480" w:after="120"/>
              <w:ind w:left="57" w:right="57"/>
              <w:jc w:val="both"/>
              <w:rPr>
                <w:rFonts w:cs="Times New Roman"/>
                <w:sz w:val="8"/>
                <w:szCs w:val="8"/>
              </w:rPr>
            </w:pPr>
            <w:r w:rsidRPr="00B45667">
              <w:rPr>
                <w:rFonts w:eastAsia="Segoe UI" w:cs="Times New Roman"/>
                <w:b/>
                <w:sz w:val="16"/>
                <w:szCs w:val="16"/>
                <w:lang w:bidi="ru-RU"/>
              </w:rPr>
              <w:t>Рис. 3.</w:t>
            </w:r>
            <w:r w:rsidRPr="00B45667">
              <w:rPr>
                <w:rFonts w:eastAsia="Segoe UI" w:cs="Times New Roman"/>
                <w:sz w:val="16"/>
                <w:szCs w:val="16"/>
                <w:lang w:bidi="ru-RU"/>
              </w:rPr>
              <w:t xml:space="preserve"> Скорректированные с учетом нескольких переменных величины ОР (95 % ДИ) развития АГ, при сравнении самой высокой и самой низкой концентрации Mg или при анализе пошагового увеличения концентрации Mg в крови на 0,1 ммоль/л, в проспективных когортных исследованиях Общая оценка получена при анализе модели со случайными эффектами. Точки обозначают скорректированные величины ОР. Площадь затененного квадрата пропорциональна весу каждого исследования. Горизонтальными линиями отмечены 95 % ДИ. Ромбовидные метки обозначают величины совокупного ОР. Сокращения:  ДИ ― доверительный интервал; ОР ― относительный риск</w:t>
            </w:r>
          </w:p>
        </w:tc>
      </w:tr>
    </w:tbl>
    <w:p w14:paraId="0CC7309A" w14:textId="77777777" w:rsidR="00B667F4" w:rsidRDefault="00B667F4"/>
    <w:tbl>
      <w:tblPr>
        <w:tblStyle w:val="af3"/>
        <w:tblW w:w="5000" w:type="pct"/>
        <w:tblCellMar>
          <w:top w:w="17" w:type="dxa"/>
          <w:left w:w="17" w:type="dxa"/>
          <w:bottom w:w="17" w:type="dxa"/>
          <w:right w:w="17" w:type="dxa"/>
        </w:tblCellMar>
        <w:tblLook w:val="04A0" w:firstRow="1" w:lastRow="0" w:firstColumn="1" w:lastColumn="0" w:noHBand="0" w:noVBand="1"/>
      </w:tblPr>
      <w:tblGrid>
        <w:gridCol w:w="10006"/>
      </w:tblGrid>
      <w:tr w:rsidR="00705422" w:rsidRPr="00B45667" w14:paraId="1F0D1330" w14:textId="77777777" w:rsidTr="00705422">
        <w:trPr>
          <w:trHeight w:val="4999"/>
        </w:trPr>
        <w:tc>
          <w:tcPr>
            <w:tcW w:w="5000" w:type="pct"/>
            <w:shd w:val="clear" w:color="auto" w:fill="auto"/>
          </w:tcPr>
          <w:p w14:paraId="1F0D12D7" w14:textId="145110F4" w:rsidR="00705422" w:rsidRPr="00B45667" w:rsidRDefault="00665BC1" w:rsidP="00705422">
            <w:pPr>
              <w:jc w:val="center"/>
              <w:rPr>
                <w:rFonts w:cs="Times New Roman"/>
                <w:sz w:val="8"/>
                <w:szCs w:val="8"/>
              </w:rPr>
            </w:pPr>
            <w:r w:rsidRPr="00B45667">
              <w:rPr>
                <w:rFonts w:cs="Times New Roman"/>
                <w:noProof/>
                <w:lang w:eastAsia="ru-RU" w:bidi="ar-SA"/>
              </w:rPr>
              <mc:AlternateContent>
                <mc:Choice Requires="wpg">
                  <w:drawing>
                    <wp:anchor distT="0" distB="0" distL="114300" distR="114300" simplePos="0" relativeHeight="251663360" behindDoc="1" locked="0" layoutInCell="1" allowOverlap="1" wp14:anchorId="1F0D13C9" wp14:editId="0E67C5E7">
                      <wp:simplePos x="0" y="0"/>
                      <wp:positionH relativeFrom="column">
                        <wp:posOffset>2140814</wp:posOffset>
                      </wp:positionH>
                      <wp:positionV relativeFrom="paragraph">
                        <wp:posOffset>389585</wp:posOffset>
                      </wp:positionV>
                      <wp:extent cx="2084705" cy="2340864"/>
                      <wp:effectExtent l="0" t="0" r="0" b="2540"/>
                      <wp:wrapNone/>
                      <wp:docPr id="20" name="Группа 7"/>
                      <wp:cNvGraphicFramePr/>
                      <a:graphic xmlns:a="http://schemas.openxmlformats.org/drawingml/2006/main">
                        <a:graphicData uri="http://schemas.microsoft.com/office/word/2010/wordprocessingGroup">
                          <wpg:wgp>
                            <wpg:cNvGrpSpPr/>
                            <wpg:grpSpPr>
                              <a:xfrm>
                                <a:off x="0" y="0"/>
                                <a:ext cx="2084705" cy="2340864"/>
                                <a:chOff x="0" y="0"/>
                                <a:chExt cx="2084832" cy="2252472"/>
                              </a:xfrm>
                            </wpg:grpSpPr>
                            <pic:pic xmlns:pic="http://schemas.openxmlformats.org/drawingml/2006/picture">
                              <pic:nvPicPr>
                                <pic:cNvPr id="21" name="Рисунок 21"/>
                                <pic:cNvPicPr>
                                  <a:picLocks noChangeAspect="1"/>
                                </pic:cNvPicPr>
                              </pic:nvPicPr>
                              <pic:blipFill>
                                <a:blip r:embed="rId41"/>
                                <a:stretch>
                                  <a:fillRect/>
                                </a:stretch>
                              </pic:blipFill>
                              <pic:spPr>
                                <a:xfrm>
                                  <a:off x="0" y="0"/>
                                  <a:ext cx="2084832" cy="2252472"/>
                                </a:xfrm>
                                <a:prstGeom prst="rect">
                                  <a:avLst/>
                                </a:prstGeom>
                              </pic:spPr>
                            </pic:pic>
                            <wps:wsp>
                              <wps:cNvPr id="22" name="Прямоугольник 22"/>
                              <wps:cNvSpPr/>
                              <wps:spPr>
                                <a:xfrm>
                                  <a:off x="18287" y="2136528"/>
                                  <a:ext cx="144780" cy="93980"/>
                                </a:xfrm>
                                <a:prstGeom prst="rect">
                                  <a:avLst/>
                                </a:prstGeom>
                                <a:solidFill>
                                  <a:srgbClr val="FFFFFF"/>
                                </a:solidFill>
                              </wps:spPr>
                              <wps:txbx>
                                <w:txbxContent>
                                  <w:p w14:paraId="1F0D1407"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0,25</w:t>
                                    </w:r>
                                  </w:p>
                                </w:txbxContent>
                              </wps:txbx>
                              <wps:bodyPr wrap="none" lIns="0" tIns="0" rIns="0" bIns="0">
                                <a:noAutofit/>
                              </wps:bodyPr>
                            </wps:wsp>
                            <wps:wsp>
                              <wps:cNvPr id="23" name="Прямоугольник 23"/>
                              <wps:cNvSpPr/>
                              <wps:spPr>
                                <a:xfrm>
                                  <a:off x="502889" y="2142623"/>
                                  <a:ext cx="103505" cy="79375"/>
                                </a:xfrm>
                                <a:prstGeom prst="rect">
                                  <a:avLst/>
                                </a:prstGeom>
                                <a:solidFill>
                                  <a:srgbClr val="FFFFFF"/>
                                </a:solidFill>
                              </wps:spPr>
                              <wps:txbx>
                                <w:txbxContent>
                                  <w:p w14:paraId="1F0D1408"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0,5</w:t>
                                    </w:r>
                                  </w:p>
                                </w:txbxContent>
                              </wps:txbx>
                              <wps:bodyPr wrap="none" lIns="0" tIns="0" rIns="0" bIns="0">
                                <a:noAutofit/>
                              </wps:bodyPr>
                            </wps:wsp>
                            <wps:wsp>
                              <wps:cNvPr id="24" name="Прямоугольник 24"/>
                              <wps:cNvSpPr/>
                              <wps:spPr>
                                <a:xfrm>
                                  <a:off x="1005779" y="2136528"/>
                                  <a:ext cx="103505" cy="97155"/>
                                </a:xfrm>
                                <a:prstGeom prst="rect">
                                  <a:avLst/>
                                </a:prstGeom>
                                <a:solidFill>
                                  <a:srgbClr val="FFFFFF"/>
                                </a:solidFill>
                              </wps:spPr>
                              <wps:txbx>
                                <w:txbxContent>
                                  <w:p w14:paraId="1F0D1409"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1,0</w:t>
                                    </w:r>
                                  </w:p>
                                </w:txbxContent>
                              </wps:txbx>
                              <wps:bodyPr wrap="none" lIns="0" tIns="0" rIns="0" bIns="0">
                                <a:noAutofit/>
                              </wps:bodyPr>
                            </wps:wsp>
                            <wps:wsp>
                              <wps:cNvPr id="25" name="Прямоугольник 25"/>
                              <wps:cNvSpPr/>
                              <wps:spPr>
                                <a:xfrm>
                                  <a:off x="1459903" y="2130432"/>
                                  <a:ext cx="103505" cy="100330"/>
                                </a:xfrm>
                                <a:prstGeom prst="rect">
                                  <a:avLst/>
                                </a:prstGeom>
                                <a:solidFill>
                                  <a:srgbClr val="FFFFFF"/>
                                </a:solidFill>
                              </wps:spPr>
                              <wps:txbx>
                                <w:txbxContent>
                                  <w:p w14:paraId="1F0D140A"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2,0</w:t>
                                    </w:r>
                                  </w:p>
                                </w:txbxContent>
                              </wps:txbx>
                              <wps:bodyPr wrap="none" lIns="0" tIns="0" rIns="0" bIns="0">
                                <a:noAutofit/>
                              </wps:bodyPr>
                            </wps:wsp>
                            <wps:wsp>
                              <wps:cNvPr id="26" name="Прямоугольник 26"/>
                              <wps:cNvSpPr/>
                              <wps:spPr>
                                <a:xfrm>
                                  <a:off x="1944506" y="2124336"/>
                                  <a:ext cx="103505" cy="104140"/>
                                </a:xfrm>
                                <a:prstGeom prst="rect">
                                  <a:avLst/>
                                </a:prstGeom>
                                <a:solidFill>
                                  <a:srgbClr val="FFFFFF"/>
                                </a:solidFill>
                              </wps:spPr>
                              <wps:txbx>
                                <w:txbxContent>
                                  <w:p w14:paraId="1F0D140B"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4,0</w:t>
                                    </w:r>
                                  </w:p>
                                </w:txbxContent>
                              </wps:txbx>
                              <wps:bodyPr wrap="non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D13C9" id="_x0000_s1050" style="position:absolute;left:0;text-align:left;margin-left:168.55pt;margin-top:30.7pt;width:164.15pt;height:184.3pt;z-index:-251653120;mso-position-horizontal-relative:text;mso-position-vertical-relative:text;mso-width-relative:margin;mso-height-relative:margin" coordsize="20848,22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">
                      <v:shape id="Рисунок 21" o:spid="_x0000_s1051" type="#_x0000_t75" style="position:absolute;width:20848;height:2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">
                        <v:imagedata r:id="rId42" o:title=""/>
                      </v:shape>
                      <v:rect id="Прямоугольник 22" o:spid="_x0000_s1052" style="position:absolute;left:182;top:21365;width:1448;height: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" stroked="f">
                        <v:textbox inset="0,0,0,0">
                          <w:txbxContent>
                            <w:p w14:paraId="1F0D1407"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0,25</w:t>
                              </w:r>
                            </w:p>
                          </w:txbxContent>
                        </v:textbox>
                      </v:rect>
                      <v:rect id="Прямоугольник 23" o:spid="_x0000_s1053" style="position:absolute;left:5028;top:21426;width:1035;height: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" stroked="f">
                        <v:textbox inset="0,0,0,0">
                          <w:txbxContent>
                            <w:p w14:paraId="1F0D1408"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0,5</w:t>
                              </w:r>
                            </w:p>
                          </w:txbxContent>
                        </v:textbox>
                      </v:rect>
                      <v:rect id="Прямоугольник 24" o:spid="_x0000_s1054" style="position:absolute;left:10057;top:21365;width:1035;height: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" stroked="f">
                        <v:textbox inset="0,0,0,0">
                          <w:txbxContent>
                            <w:p w14:paraId="1F0D1409"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1,0</w:t>
                              </w:r>
                            </w:p>
                          </w:txbxContent>
                        </v:textbox>
                      </v:rect>
                      <v:rect id="Прямоугольник 25" o:spid="_x0000_s1055" style="position:absolute;left:14599;top:21304;width:1035;height:1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" stroked="f">
                        <v:textbox inset="0,0,0,0">
                          <w:txbxContent>
                            <w:p w14:paraId="1F0D140A" w14:textId="77777777" w:rsidR="00705422" w:rsidRDefault="00705422" w:rsidP="00EF675A">
                              <w:pPr>
                                <w:pStyle w:val="af1"/>
                                <w:spacing w:before="0" w:beforeAutospacing="0" w:after="0" w:afterAutospacing="0"/>
                              </w:pPr>
                              <w:r>
                                <w:rPr>
                                  <w:rFonts w:cstheme="minorBidi"/>
                                  <w:b/>
                                  <w:color w:val="000000" w:themeColor="text1"/>
                                  <w:kern w:val="24"/>
                                  <w:sz w:val="13"/>
                                  <w:szCs w:val="13"/>
                                  <w:lang w:bidi="ru-RU"/>
                                </w:rPr>
                                <w:t>2,0</w:t>
                              </w:r>
                            </w:p>
                          </w:txbxContent>
                        </v:textbox>
                      </v:rect>
                      <v:rect id="Прямоугольник 26" o:spid="_x0000_s1056" style="position:absolute;left:19445;top:21243;width:1035;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" stroked="f">
                        <v:textbox inset="0,0,0,0">
                          <w:txbxContent>
                            <w:p w14:paraId="1F0D140B" w14:textId="77777777" w:rsidR="00705422" w:rsidRDefault="00705422" w:rsidP="00EF675A">
                              <w:pPr>
                                <w:pStyle w:val="af1"/>
                                <w:spacing w:before="0" w:beforeAutospacing="0" w:after="0" w:afterAutospacing="0"/>
                                <w:jc w:val="right"/>
                              </w:pPr>
                              <w:r>
                                <w:rPr>
                                  <w:rFonts w:cstheme="minorBidi"/>
                                  <w:b/>
                                  <w:color w:val="000000" w:themeColor="text1"/>
                                  <w:kern w:val="24"/>
                                  <w:sz w:val="13"/>
                                  <w:szCs w:val="13"/>
                                  <w:lang w:bidi="ru-RU"/>
                                </w:rPr>
                                <w:t>4,0</w:t>
                              </w:r>
                            </w:p>
                          </w:txbxContent>
                        </v:textbox>
                      </v:rect>
                    </v:group>
                  </w:pict>
                </mc:Fallback>
              </mc:AlternateContent>
            </w:r>
          </w:p>
          <w:tbl>
            <w:tblPr>
              <w:tblOverlap w:val="never"/>
              <w:tblW w:w="0" w:type="auto"/>
              <w:jc w:val="center"/>
              <w:tblCellMar>
                <w:top w:w="17" w:type="dxa"/>
                <w:left w:w="17" w:type="dxa"/>
                <w:bottom w:w="17" w:type="dxa"/>
                <w:right w:w="17" w:type="dxa"/>
              </w:tblCellMar>
              <w:tblLook w:val="0000" w:firstRow="0" w:lastRow="0" w:firstColumn="0" w:lastColumn="0" w:noHBand="0" w:noVBand="0"/>
            </w:tblPr>
            <w:tblGrid>
              <w:gridCol w:w="1440"/>
              <w:gridCol w:w="758"/>
              <w:gridCol w:w="2544"/>
              <w:gridCol w:w="1176"/>
              <w:gridCol w:w="912"/>
            </w:tblGrid>
            <w:tr w:rsidR="00705422" w:rsidRPr="00B45667" w14:paraId="1F0D12DD" w14:textId="77777777" w:rsidTr="00705422">
              <w:trPr>
                <w:trHeight w:val="227"/>
                <w:jc w:val="center"/>
              </w:trPr>
              <w:tc>
                <w:tcPr>
                  <w:tcW w:w="1440" w:type="dxa"/>
                  <w:tcBorders>
                    <w:bottom w:val="single" w:sz="4" w:space="0" w:color="BFBFBF" w:themeColor="background1" w:themeShade="BF"/>
                  </w:tcBorders>
                  <w:shd w:val="clear" w:color="auto" w:fill="auto"/>
                  <w:vAlign w:val="center"/>
                </w:tcPr>
                <w:p w14:paraId="1F0D12D8"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b/>
                      <w:lang w:bidi="ru-RU"/>
                    </w:rPr>
                    <w:t>Автор</w:t>
                  </w:r>
                </w:p>
              </w:tc>
              <w:tc>
                <w:tcPr>
                  <w:tcW w:w="758" w:type="dxa"/>
                  <w:tcBorders>
                    <w:bottom w:val="single" w:sz="4" w:space="0" w:color="BFBFBF" w:themeColor="background1" w:themeShade="BF"/>
                  </w:tcBorders>
                  <w:shd w:val="clear" w:color="auto" w:fill="auto"/>
                  <w:vAlign w:val="center"/>
                </w:tcPr>
                <w:p w14:paraId="1F0D12D9"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b/>
                      <w:lang w:bidi="ru-RU"/>
                    </w:rPr>
                    <w:t>Год</w:t>
                  </w:r>
                </w:p>
              </w:tc>
              <w:tc>
                <w:tcPr>
                  <w:tcW w:w="2544" w:type="dxa"/>
                  <w:tcBorders>
                    <w:bottom w:val="single" w:sz="4" w:space="0" w:color="BFBFBF" w:themeColor="background1" w:themeShade="BF"/>
                  </w:tcBorders>
                  <w:shd w:val="clear" w:color="auto" w:fill="auto"/>
                  <w:vAlign w:val="center"/>
                </w:tcPr>
                <w:p w14:paraId="1F0D12DA" w14:textId="77777777" w:rsidR="00705422" w:rsidRPr="00B45667" w:rsidRDefault="00705422" w:rsidP="00705422">
                  <w:pPr>
                    <w:rPr>
                      <w:rFonts w:cs="Times New Roman"/>
                      <w:sz w:val="10"/>
                      <w:szCs w:val="10"/>
                    </w:rPr>
                  </w:pPr>
                </w:p>
              </w:tc>
              <w:tc>
                <w:tcPr>
                  <w:tcW w:w="1176" w:type="dxa"/>
                  <w:tcBorders>
                    <w:bottom w:val="single" w:sz="4" w:space="0" w:color="BFBFBF" w:themeColor="background1" w:themeShade="BF"/>
                  </w:tcBorders>
                  <w:shd w:val="clear" w:color="auto" w:fill="auto"/>
                  <w:vAlign w:val="center"/>
                </w:tcPr>
                <w:p w14:paraId="1F0D12DB"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b/>
                      <w:lang w:bidi="ru-RU"/>
                    </w:rPr>
                    <w:t>ОР (95 % ДИ)</w:t>
                  </w:r>
                </w:p>
              </w:tc>
              <w:tc>
                <w:tcPr>
                  <w:tcW w:w="912" w:type="dxa"/>
                  <w:tcBorders>
                    <w:bottom w:val="single" w:sz="4" w:space="0" w:color="BFBFBF" w:themeColor="background1" w:themeShade="BF"/>
                  </w:tcBorders>
                  <w:shd w:val="clear" w:color="auto" w:fill="auto"/>
                  <w:vAlign w:val="center"/>
                </w:tcPr>
                <w:p w14:paraId="1F0D12DC"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b/>
                      <w:lang w:bidi="ru-RU"/>
                    </w:rPr>
                    <w:t>Вес, %</w:t>
                  </w:r>
                </w:p>
              </w:tc>
            </w:tr>
            <w:tr w:rsidR="00705422" w:rsidRPr="00B45667" w14:paraId="1F0D12E3" w14:textId="77777777" w:rsidTr="00705422">
              <w:trPr>
                <w:trHeight w:val="227"/>
                <w:jc w:val="center"/>
              </w:trPr>
              <w:tc>
                <w:tcPr>
                  <w:tcW w:w="1440" w:type="dxa"/>
                  <w:tcBorders>
                    <w:top w:val="single" w:sz="4" w:space="0" w:color="BFBFBF" w:themeColor="background1" w:themeShade="BF"/>
                  </w:tcBorders>
                  <w:shd w:val="clear" w:color="auto" w:fill="auto"/>
                </w:tcPr>
                <w:p w14:paraId="1F0D12DE" w14:textId="77777777" w:rsidR="00705422" w:rsidRPr="00B45667" w:rsidRDefault="00705422" w:rsidP="00705422">
                  <w:pPr>
                    <w:pStyle w:val="a4"/>
                    <w:shd w:val="clear" w:color="auto" w:fill="auto"/>
                    <w:spacing w:before="60" w:line="240" w:lineRule="auto"/>
                    <w:rPr>
                      <w:rFonts w:cs="Times New Roman"/>
                    </w:rPr>
                  </w:pPr>
                  <w:r w:rsidRPr="00B45667">
                    <w:rPr>
                      <w:rFonts w:eastAsia="Times New Roman" w:cs="Times New Roman"/>
                      <w:b/>
                      <w:lang w:bidi="ru-RU"/>
                    </w:rPr>
                    <w:t>Самая высокая по сравнению с самой низкой</w:t>
                  </w:r>
                </w:p>
              </w:tc>
              <w:tc>
                <w:tcPr>
                  <w:tcW w:w="758" w:type="dxa"/>
                  <w:tcBorders>
                    <w:top w:val="single" w:sz="4" w:space="0" w:color="BFBFBF" w:themeColor="background1" w:themeShade="BF"/>
                  </w:tcBorders>
                  <w:shd w:val="clear" w:color="auto" w:fill="auto"/>
                </w:tcPr>
                <w:p w14:paraId="1F0D12DF" w14:textId="037AAD25" w:rsidR="00705422" w:rsidRPr="00B45667" w:rsidRDefault="00705422" w:rsidP="00705422">
                  <w:pPr>
                    <w:rPr>
                      <w:rFonts w:cs="Times New Roman"/>
                      <w:sz w:val="10"/>
                      <w:szCs w:val="10"/>
                    </w:rPr>
                  </w:pPr>
                </w:p>
              </w:tc>
              <w:tc>
                <w:tcPr>
                  <w:tcW w:w="2544" w:type="dxa"/>
                  <w:tcBorders>
                    <w:top w:val="single" w:sz="4" w:space="0" w:color="BFBFBF" w:themeColor="background1" w:themeShade="BF"/>
                  </w:tcBorders>
                  <w:shd w:val="clear" w:color="auto" w:fill="auto"/>
                </w:tcPr>
                <w:p w14:paraId="1F0D12E0" w14:textId="77777777" w:rsidR="00705422" w:rsidRPr="00B45667" w:rsidRDefault="00705422" w:rsidP="00705422">
                  <w:pPr>
                    <w:rPr>
                      <w:rFonts w:cs="Times New Roman"/>
                      <w:sz w:val="10"/>
                      <w:szCs w:val="10"/>
                    </w:rPr>
                  </w:pPr>
                </w:p>
              </w:tc>
              <w:tc>
                <w:tcPr>
                  <w:tcW w:w="1176" w:type="dxa"/>
                  <w:tcBorders>
                    <w:top w:val="single" w:sz="4" w:space="0" w:color="BFBFBF" w:themeColor="background1" w:themeShade="BF"/>
                  </w:tcBorders>
                  <w:shd w:val="clear" w:color="auto" w:fill="auto"/>
                  <w:vAlign w:val="center"/>
                </w:tcPr>
                <w:p w14:paraId="1F0D12E1" w14:textId="77777777" w:rsidR="00705422" w:rsidRPr="00B45667" w:rsidRDefault="00705422" w:rsidP="00705422">
                  <w:pPr>
                    <w:rPr>
                      <w:rFonts w:cs="Times New Roman"/>
                      <w:sz w:val="10"/>
                      <w:szCs w:val="10"/>
                    </w:rPr>
                  </w:pPr>
                </w:p>
              </w:tc>
              <w:tc>
                <w:tcPr>
                  <w:tcW w:w="912" w:type="dxa"/>
                  <w:tcBorders>
                    <w:top w:val="single" w:sz="4" w:space="0" w:color="BFBFBF" w:themeColor="background1" w:themeShade="BF"/>
                  </w:tcBorders>
                  <w:shd w:val="clear" w:color="auto" w:fill="auto"/>
                  <w:vAlign w:val="center"/>
                </w:tcPr>
                <w:p w14:paraId="1F0D12E2" w14:textId="77777777" w:rsidR="00705422" w:rsidRPr="00B45667" w:rsidRDefault="00705422" w:rsidP="00705422">
                  <w:pPr>
                    <w:rPr>
                      <w:rFonts w:cs="Times New Roman"/>
                      <w:sz w:val="10"/>
                      <w:szCs w:val="10"/>
                    </w:rPr>
                  </w:pPr>
                </w:p>
              </w:tc>
            </w:tr>
            <w:tr w:rsidR="00705422" w:rsidRPr="00B45667" w14:paraId="1F0D12E9" w14:textId="77777777" w:rsidTr="00705422">
              <w:trPr>
                <w:trHeight w:val="227"/>
                <w:jc w:val="center"/>
              </w:trPr>
              <w:tc>
                <w:tcPr>
                  <w:tcW w:w="1440" w:type="dxa"/>
                  <w:shd w:val="clear" w:color="auto" w:fill="auto"/>
                </w:tcPr>
                <w:p w14:paraId="1F0D12E4"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Kao_негроидная раса</w:t>
                  </w:r>
                </w:p>
              </w:tc>
              <w:tc>
                <w:tcPr>
                  <w:tcW w:w="758" w:type="dxa"/>
                  <w:shd w:val="clear" w:color="auto" w:fill="auto"/>
                </w:tcPr>
                <w:p w14:paraId="1F0D12E5"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1999</w:t>
                  </w:r>
                </w:p>
              </w:tc>
              <w:tc>
                <w:tcPr>
                  <w:tcW w:w="2544" w:type="dxa"/>
                  <w:shd w:val="clear" w:color="auto" w:fill="auto"/>
                </w:tcPr>
                <w:p w14:paraId="1F0D12E6" w14:textId="77777777" w:rsidR="00705422" w:rsidRPr="00B45667" w:rsidRDefault="00705422" w:rsidP="00705422">
                  <w:pPr>
                    <w:rPr>
                      <w:rFonts w:cs="Times New Roman"/>
                      <w:sz w:val="10"/>
                      <w:szCs w:val="10"/>
                    </w:rPr>
                  </w:pPr>
                </w:p>
              </w:tc>
              <w:tc>
                <w:tcPr>
                  <w:tcW w:w="1176" w:type="dxa"/>
                  <w:shd w:val="clear" w:color="auto" w:fill="auto"/>
                  <w:vAlign w:val="center"/>
                </w:tcPr>
                <w:p w14:paraId="1F0D12E7"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1,11 (0,59–2,08)</w:t>
                  </w:r>
                </w:p>
              </w:tc>
              <w:tc>
                <w:tcPr>
                  <w:tcW w:w="912" w:type="dxa"/>
                  <w:shd w:val="clear" w:color="auto" w:fill="auto"/>
                  <w:vAlign w:val="center"/>
                </w:tcPr>
                <w:p w14:paraId="1F0D12E8"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11,99</w:t>
                  </w:r>
                </w:p>
              </w:tc>
            </w:tr>
            <w:tr w:rsidR="00705422" w:rsidRPr="00B45667" w14:paraId="1F0D12EF" w14:textId="77777777" w:rsidTr="00705422">
              <w:trPr>
                <w:trHeight w:val="227"/>
                <w:jc w:val="center"/>
              </w:trPr>
              <w:tc>
                <w:tcPr>
                  <w:tcW w:w="1440" w:type="dxa"/>
                  <w:shd w:val="clear" w:color="auto" w:fill="auto"/>
                </w:tcPr>
                <w:p w14:paraId="1F0D12EA"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Kao_европеоидная раса</w:t>
                  </w:r>
                </w:p>
              </w:tc>
              <w:tc>
                <w:tcPr>
                  <w:tcW w:w="758" w:type="dxa"/>
                  <w:shd w:val="clear" w:color="auto" w:fill="auto"/>
                </w:tcPr>
                <w:p w14:paraId="1F0D12EB"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1999</w:t>
                  </w:r>
                </w:p>
              </w:tc>
              <w:tc>
                <w:tcPr>
                  <w:tcW w:w="2544" w:type="dxa"/>
                  <w:shd w:val="clear" w:color="auto" w:fill="auto"/>
                </w:tcPr>
                <w:p w14:paraId="1F0D12EC" w14:textId="77777777" w:rsidR="00705422" w:rsidRPr="00B45667" w:rsidRDefault="00705422" w:rsidP="00705422">
                  <w:pPr>
                    <w:rPr>
                      <w:rFonts w:cs="Times New Roman"/>
                      <w:sz w:val="10"/>
                      <w:szCs w:val="10"/>
                    </w:rPr>
                  </w:pPr>
                </w:p>
              </w:tc>
              <w:tc>
                <w:tcPr>
                  <w:tcW w:w="1176" w:type="dxa"/>
                  <w:shd w:val="clear" w:color="auto" w:fill="auto"/>
                  <w:vAlign w:val="center"/>
                </w:tcPr>
                <w:p w14:paraId="1F0D12ED"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0,65 (0,42‒0,99)</w:t>
                  </w:r>
                </w:p>
              </w:tc>
              <w:tc>
                <w:tcPr>
                  <w:tcW w:w="912" w:type="dxa"/>
                  <w:shd w:val="clear" w:color="auto" w:fill="auto"/>
                  <w:vAlign w:val="center"/>
                </w:tcPr>
                <w:p w14:paraId="1F0D12EE"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21,76</w:t>
                  </w:r>
                </w:p>
              </w:tc>
            </w:tr>
            <w:tr w:rsidR="00705422" w:rsidRPr="00B45667" w14:paraId="1F0D12F5" w14:textId="77777777" w:rsidTr="00705422">
              <w:trPr>
                <w:trHeight w:val="170"/>
                <w:jc w:val="center"/>
              </w:trPr>
              <w:tc>
                <w:tcPr>
                  <w:tcW w:w="1440" w:type="dxa"/>
                  <w:shd w:val="clear" w:color="auto" w:fill="auto"/>
                </w:tcPr>
                <w:p w14:paraId="1F0D12F0"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Everett</w:t>
                  </w:r>
                </w:p>
              </w:tc>
              <w:tc>
                <w:tcPr>
                  <w:tcW w:w="758" w:type="dxa"/>
                  <w:shd w:val="clear" w:color="auto" w:fill="auto"/>
                </w:tcPr>
                <w:p w14:paraId="1F0D12F1"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2006</w:t>
                  </w:r>
                </w:p>
              </w:tc>
              <w:tc>
                <w:tcPr>
                  <w:tcW w:w="2544" w:type="dxa"/>
                  <w:shd w:val="clear" w:color="auto" w:fill="auto"/>
                </w:tcPr>
                <w:p w14:paraId="1F0D12F2" w14:textId="77777777" w:rsidR="00705422" w:rsidRPr="00B45667" w:rsidRDefault="00705422" w:rsidP="00705422">
                  <w:pPr>
                    <w:rPr>
                      <w:rFonts w:cs="Times New Roman"/>
                      <w:sz w:val="10"/>
                      <w:szCs w:val="10"/>
                    </w:rPr>
                  </w:pPr>
                </w:p>
              </w:tc>
              <w:tc>
                <w:tcPr>
                  <w:tcW w:w="1176" w:type="dxa"/>
                  <w:shd w:val="clear" w:color="auto" w:fill="auto"/>
                  <w:vAlign w:val="center"/>
                </w:tcPr>
                <w:p w14:paraId="1F0D12F3"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0,66 (0,49‒0,89)</w:t>
                  </w:r>
                </w:p>
              </w:tc>
              <w:tc>
                <w:tcPr>
                  <w:tcW w:w="912" w:type="dxa"/>
                  <w:shd w:val="clear" w:color="auto" w:fill="auto"/>
                  <w:vAlign w:val="center"/>
                </w:tcPr>
                <w:p w14:paraId="1F0D12F4"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34,08</w:t>
                  </w:r>
                </w:p>
              </w:tc>
            </w:tr>
            <w:tr w:rsidR="00705422" w:rsidRPr="00B45667" w14:paraId="1F0D12FB" w14:textId="77777777" w:rsidTr="00705422">
              <w:trPr>
                <w:trHeight w:val="227"/>
                <w:jc w:val="center"/>
              </w:trPr>
              <w:tc>
                <w:tcPr>
                  <w:tcW w:w="1440" w:type="dxa"/>
                  <w:shd w:val="clear" w:color="auto" w:fill="auto"/>
                </w:tcPr>
                <w:p w14:paraId="1F0D12F6"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Guerrero-Romer</w:t>
                  </w:r>
                </w:p>
              </w:tc>
              <w:tc>
                <w:tcPr>
                  <w:tcW w:w="758" w:type="dxa"/>
                  <w:shd w:val="clear" w:color="auto" w:fill="auto"/>
                </w:tcPr>
                <w:p w14:paraId="1F0D12F7"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 xml:space="preserve">2008 </w:t>
                  </w:r>
                </w:p>
              </w:tc>
              <w:tc>
                <w:tcPr>
                  <w:tcW w:w="2544" w:type="dxa"/>
                  <w:shd w:val="clear" w:color="auto" w:fill="auto"/>
                </w:tcPr>
                <w:p w14:paraId="1F0D12F8" w14:textId="77777777" w:rsidR="00705422" w:rsidRPr="00B45667" w:rsidRDefault="00705422" w:rsidP="00705422">
                  <w:pPr>
                    <w:rPr>
                      <w:rFonts w:cs="Times New Roman"/>
                      <w:sz w:val="10"/>
                      <w:szCs w:val="10"/>
                    </w:rPr>
                  </w:pPr>
                </w:p>
              </w:tc>
              <w:tc>
                <w:tcPr>
                  <w:tcW w:w="1176" w:type="dxa"/>
                  <w:shd w:val="clear" w:color="auto" w:fill="auto"/>
                  <w:vAlign w:val="center"/>
                </w:tcPr>
                <w:p w14:paraId="1F0D12F9"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0,39 (0,20‒0,76)</w:t>
                  </w:r>
                </w:p>
              </w:tc>
              <w:tc>
                <w:tcPr>
                  <w:tcW w:w="912" w:type="dxa"/>
                  <w:shd w:val="clear" w:color="auto" w:fill="auto"/>
                  <w:vAlign w:val="center"/>
                </w:tcPr>
                <w:p w14:paraId="1F0D12FA"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11,04</w:t>
                  </w:r>
                </w:p>
              </w:tc>
            </w:tr>
            <w:tr w:rsidR="00705422" w:rsidRPr="00B45667" w14:paraId="1F0D1301" w14:textId="77777777" w:rsidTr="00705422">
              <w:trPr>
                <w:trHeight w:val="170"/>
                <w:jc w:val="center"/>
              </w:trPr>
              <w:tc>
                <w:tcPr>
                  <w:tcW w:w="1440" w:type="dxa"/>
                  <w:shd w:val="clear" w:color="auto" w:fill="auto"/>
                </w:tcPr>
                <w:p w14:paraId="1F0D12FC"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Kieboom</w:t>
                  </w:r>
                </w:p>
              </w:tc>
              <w:tc>
                <w:tcPr>
                  <w:tcW w:w="758" w:type="dxa"/>
                  <w:shd w:val="clear" w:color="auto" w:fill="auto"/>
                </w:tcPr>
                <w:p w14:paraId="1F0D12FD"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2017</w:t>
                  </w:r>
                </w:p>
              </w:tc>
              <w:tc>
                <w:tcPr>
                  <w:tcW w:w="2544" w:type="dxa"/>
                  <w:shd w:val="clear" w:color="auto" w:fill="auto"/>
                </w:tcPr>
                <w:p w14:paraId="1F0D12FE" w14:textId="77777777" w:rsidR="00705422" w:rsidRPr="00B45667" w:rsidRDefault="00705422" w:rsidP="00705422">
                  <w:pPr>
                    <w:rPr>
                      <w:rFonts w:cs="Times New Roman"/>
                      <w:sz w:val="10"/>
                      <w:szCs w:val="10"/>
                    </w:rPr>
                  </w:pPr>
                </w:p>
              </w:tc>
              <w:tc>
                <w:tcPr>
                  <w:tcW w:w="1176" w:type="dxa"/>
                  <w:shd w:val="clear" w:color="auto" w:fill="auto"/>
                  <w:vAlign w:val="center"/>
                </w:tcPr>
                <w:p w14:paraId="1F0D12FF"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0,56 (0,36‒0,86)</w:t>
                  </w:r>
                </w:p>
              </w:tc>
              <w:tc>
                <w:tcPr>
                  <w:tcW w:w="912" w:type="dxa"/>
                  <w:shd w:val="clear" w:color="auto" w:fill="auto"/>
                  <w:vAlign w:val="center"/>
                </w:tcPr>
                <w:p w14:paraId="1F0D1300"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21,14</w:t>
                  </w:r>
                </w:p>
              </w:tc>
            </w:tr>
            <w:tr w:rsidR="00705422" w:rsidRPr="00B45667" w14:paraId="1F0D1306" w14:textId="77777777" w:rsidTr="00705422">
              <w:trPr>
                <w:trHeight w:val="227"/>
                <w:jc w:val="center"/>
              </w:trPr>
              <w:tc>
                <w:tcPr>
                  <w:tcW w:w="2198" w:type="dxa"/>
                  <w:gridSpan w:val="2"/>
                  <w:shd w:val="clear" w:color="auto" w:fill="auto"/>
                </w:tcPr>
                <w:p w14:paraId="1F0D1302"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Неоднородность (</w:t>
                  </w:r>
                  <w:r w:rsidRPr="00B45667">
                    <w:rPr>
                      <w:rFonts w:eastAsia="Times New Roman" w:cs="Times New Roman"/>
                      <w:i/>
                      <w:lang w:bidi="ru-RU"/>
                    </w:rPr>
                    <w:t>I</w:t>
                  </w:r>
                  <w:r w:rsidRPr="00B45667">
                    <w:rPr>
                      <w:rFonts w:eastAsia="Lucida Sans Unicode" w:cs="Times New Roman"/>
                      <w:sz w:val="11"/>
                      <w:szCs w:val="11"/>
                      <w:vertAlign w:val="superscript"/>
                      <w:lang w:bidi="ru-RU"/>
                    </w:rPr>
                    <w:t>2</w:t>
                  </w:r>
                  <w:r w:rsidRPr="00B45667">
                    <w:rPr>
                      <w:rFonts w:eastAsia="Lucida Sans Unicode" w:cs="Times New Roman"/>
                      <w:sz w:val="11"/>
                      <w:szCs w:val="11"/>
                      <w:lang w:bidi="ru-RU"/>
                    </w:rPr>
                    <w:t> </w:t>
                  </w:r>
                  <w:r w:rsidRPr="00B45667">
                    <w:rPr>
                      <w:rFonts w:eastAsia="Times New Roman" w:cs="Times New Roman"/>
                      <w:lang w:bidi="ru-RU"/>
                    </w:rPr>
                    <w:t xml:space="preserve">= 27,3 %, </w:t>
                  </w:r>
                  <w:r w:rsidRPr="00B45667">
                    <w:rPr>
                      <w:rFonts w:eastAsia="Times New Roman" w:cs="Times New Roman"/>
                      <w:i/>
                      <w:lang w:bidi="ru-RU"/>
                    </w:rPr>
                    <w:t>P</w:t>
                  </w:r>
                  <w:r w:rsidRPr="00B45667">
                    <w:rPr>
                      <w:rFonts w:eastAsia="Times New Roman" w:cs="Times New Roman"/>
                      <w:lang w:bidi="ru-RU"/>
                    </w:rPr>
                    <w:t> = 0,24)</w:t>
                  </w:r>
                </w:p>
              </w:tc>
              <w:tc>
                <w:tcPr>
                  <w:tcW w:w="2544" w:type="dxa"/>
                  <w:shd w:val="clear" w:color="auto" w:fill="auto"/>
                </w:tcPr>
                <w:p w14:paraId="1F0D1303" w14:textId="77777777" w:rsidR="00705422" w:rsidRPr="00B45667" w:rsidRDefault="00705422" w:rsidP="00705422">
                  <w:pPr>
                    <w:pStyle w:val="a4"/>
                    <w:shd w:val="clear" w:color="auto" w:fill="auto"/>
                    <w:spacing w:line="240" w:lineRule="auto"/>
                    <w:rPr>
                      <w:rFonts w:cs="Times New Roman"/>
                    </w:rPr>
                  </w:pPr>
                </w:p>
              </w:tc>
              <w:tc>
                <w:tcPr>
                  <w:tcW w:w="1176" w:type="dxa"/>
                  <w:shd w:val="clear" w:color="auto" w:fill="auto"/>
                  <w:vAlign w:val="center"/>
                </w:tcPr>
                <w:p w14:paraId="1F0D1304"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b/>
                      <w:lang w:bidi="ru-RU"/>
                    </w:rPr>
                    <w:t>0,64 (0,50‒0,81)</w:t>
                  </w:r>
                </w:p>
              </w:tc>
              <w:tc>
                <w:tcPr>
                  <w:tcW w:w="912" w:type="dxa"/>
                  <w:shd w:val="clear" w:color="auto" w:fill="auto"/>
                  <w:vAlign w:val="center"/>
                </w:tcPr>
                <w:p w14:paraId="1F0D1305"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b/>
                      <w:lang w:bidi="ru-RU"/>
                    </w:rPr>
                    <w:t>100,00</w:t>
                  </w:r>
                </w:p>
              </w:tc>
            </w:tr>
            <w:tr w:rsidR="00705422" w:rsidRPr="00B45667" w14:paraId="1F0D130B" w14:textId="77777777" w:rsidTr="00705422">
              <w:trPr>
                <w:trHeight w:val="227"/>
                <w:jc w:val="center"/>
              </w:trPr>
              <w:tc>
                <w:tcPr>
                  <w:tcW w:w="2198" w:type="dxa"/>
                  <w:gridSpan w:val="2"/>
                  <w:shd w:val="clear" w:color="auto" w:fill="auto"/>
                </w:tcPr>
                <w:p w14:paraId="1F0D1307"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b/>
                      <w:lang w:bidi="ru-RU"/>
                    </w:rPr>
                    <w:t>Пошаговое увеличение на 0,1 ммоль/л</w:t>
                  </w:r>
                </w:p>
              </w:tc>
              <w:tc>
                <w:tcPr>
                  <w:tcW w:w="2544" w:type="dxa"/>
                  <w:shd w:val="clear" w:color="auto" w:fill="auto"/>
                </w:tcPr>
                <w:p w14:paraId="1F0D1308" w14:textId="77777777" w:rsidR="00705422" w:rsidRPr="00B45667" w:rsidRDefault="00705422" w:rsidP="00705422">
                  <w:pPr>
                    <w:rPr>
                      <w:rFonts w:cs="Times New Roman"/>
                      <w:sz w:val="10"/>
                      <w:szCs w:val="10"/>
                    </w:rPr>
                  </w:pPr>
                </w:p>
              </w:tc>
              <w:tc>
                <w:tcPr>
                  <w:tcW w:w="1176" w:type="dxa"/>
                  <w:shd w:val="clear" w:color="auto" w:fill="auto"/>
                  <w:vAlign w:val="center"/>
                </w:tcPr>
                <w:p w14:paraId="1F0D1309" w14:textId="77777777" w:rsidR="00705422" w:rsidRPr="00B45667" w:rsidRDefault="00705422" w:rsidP="00705422">
                  <w:pPr>
                    <w:jc w:val="center"/>
                    <w:rPr>
                      <w:rFonts w:cs="Times New Roman"/>
                      <w:sz w:val="10"/>
                      <w:szCs w:val="10"/>
                    </w:rPr>
                  </w:pPr>
                </w:p>
              </w:tc>
              <w:tc>
                <w:tcPr>
                  <w:tcW w:w="912" w:type="dxa"/>
                  <w:shd w:val="clear" w:color="auto" w:fill="auto"/>
                  <w:vAlign w:val="center"/>
                </w:tcPr>
                <w:p w14:paraId="1F0D130A" w14:textId="77777777" w:rsidR="00705422" w:rsidRPr="00B45667" w:rsidRDefault="00705422" w:rsidP="00705422">
                  <w:pPr>
                    <w:jc w:val="center"/>
                    <w:rPr>
                      <w:rFonts w:cs="Times New Roman"/>
                      <w:sz w:val="10"/>
                      <w:szCs w:val="10"/>
                    </w:rPr>
                  </w:pPr>
                </w:p>
              </w:tc>
            </w:tr>
            <w:tr w:rsidR="00705422" w:rsidRPr="00B45667" w14:paraId="1F0D1311" w14:textId="77777777" w:rsidTr="00705422">
              <w:trPr>
                <w:trHeight w:val="227"/>
                <w:jc w:val="center"/>
              </w:trPr>
              <w:tc>
                <w:tcPr>
                  <w:tcW w:w="1440" w:type="dxa"/>
                  <w:shd w:val="clear" w:color="auto" w:fill="auto"/>
                </w:tcPr>
                <w:p w14:paraId="1F0D130C"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Kao_негроидная раса</w:t>
                  </w:r>
                </w:p>
              </w:tc>
              <w:tc>
                <w:tcPr>
                  <w:tcW w:w="758" w:type="dxa"/>
                  <w:shd w:val="clear" w:color="auto" w:fill="auto"/>
                </w:tcPr>
                <w:p w14:paraId="1F0D130D"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1999</w:t>
                  </w:r>
                </w:p>
              </w:tc>
              <w:tc>
                <w:tcPr>
                  <w:tcW w:w="2544" w:type="dxa"/>
                  <w:shd w:val="clear" w:color="auto" w:fill="auto"/>
                </w:tcPr>
                <w:p w14:paraId="1F0D130E" w14:textId="77777777" w:rsidR="00705422" w:rsidRPr="00B45667" w:rsidRDefault="00705422" w:rsidP="00705422">
                  <w:pPr>
                    <w:pStyle w:val="a4"/>
                    <w:shd w:val="clear" w:color="auto" w:fill="auto"/>
                    <w:spacing w:line="240" w:lineRule="auto"/>
                    <w:rPr>
                      <w:rFonts w:cs="Times New Roman"/>
                      <w:sz w:val="18"/>
                      <w:szCs w:val="18"/>
                    </w:rPr>
                  </w:pPr>
                </w:p>
              </w:tc>
              <w:tc>
                <w:tcPr>
                  <w:tcW w:w="1176" w:type="dxa"/>
                  <w:shd w:val="clear" w:color="auto" w:fill="auto"/>
                  <w:vAlign w:val="center"/>
                </w:tcPr>
                <w:p w14:paraId="1F0D130F"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1,02 (0,94–1,11)</w:t>
                  </w:r>
                </w:p>
              </w:tc>
              <w:tc>
                <w:tcPr>
                  <w:tcW w:w="912" w:type="dxa"/>
                  <w:shd w:val="clear" w:color="auto" w:fill="auto"/>
                  <w:vAlign w:val="center"/>
                </w:tcPr>
                <w:p w14:paraId="1F0D1310"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29,40</w:t>
                  </w:r>
                </w:p>
              </w:tc>
            </w:tr>
            <w:tr w:rsidR="00705422" w:rsidRPr="00B45667" w14:paraId="1F0D1317" w14:textId="77777777" w:rsidTr="00705422">
              <w:trPr>
                <w:trHeight w:val="227"/>
                <w:jc w:val="center"/>
              </w:trPr>
              <w:tc>
                <w:tcPr>
                  <w:tcW w:w="1440" w:type="dxa"/>
                  <w:shd w:val="clear" w:color="auto" w:fill="auto"/>
                </w:tcPr>
                <w:p w14:paraId="1F0D1312"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Kao_европеоидная раса</w:t>
                  </w:r>
                </w:p>
              </w:tc>
              <w:tc>
                <w:tcPr>
                  <w:tcW w:w="758" w:type="dxa"/>
                  <w:shd w:val="clear" w:color="auto" w:fill="auto"/>
                </w:tcPr>
                <w:p w14:paraId="1F0D1313"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1999</w:t>
                  </w:r>
                </w:p>
              </w:tc>
              <w:tc>
                <w:tcPr>
                  <w:tcW w:w="2544" w:type="dxa"/>
                  <w:shd w:val="clear" w:color="auto" w:fill="auto"/>
                </w:tcPr>
                <w:p w14:paraId="1F0D1314" w14:textId="77777777" w:rsidR="00705422" w:rsidRPr="00B45667" w:rsidRDefault="00705422" w:rsidP="00705422">
                  <w:pPr>
                    <w:pStyle w:val="a4"/>
                    <w:shd w:val="clear" w:color="auto" w:fill="auto"/>
                    <w:spacing w:line="240" w:lineRule="auto"/>
                    <w:rPr>
                      <w:rFonts w:cs="Times New Roman"/>
                    </w:rPr>
                  </w:pPr>
                </w:p>
              </w:tc>
              <w:tc>
                <w:tcPr>
                  <w:tcW w:w="1176" w:type="dxa"/>
                  <w:shd w:val="clear" w:color="auto" w:fill="auto"/>
                  <w:vAlign w:val="center"/>
                </w:tcPr>
                <w:p w14:paraId="1F0D1315"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0,94 (0,88‒1,00)</w:t>
                  </w:r>
                </w:p>
              </w:tc>
              <w:tc>
                <w:tcPr>
                  <w:tcW w:w="912" w:type="dxa"/>
                  <w:shd w:val="clear" w:color="auto" w:fill="auto"/>
                  <w:vAlign w:val="center"/>
                </w:tcPr>
                <w:p w14:paraId="1F0D1316"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31,83</w:t>
                  </w:r>
                </w:p>
              </w:tc>
            </w:tr>
            <w:tr w:rsidR="00705422" w:rsidRPr="00B45667" w14:paraId="1F0D131D" w14:textId="77777777" w:rsidTr="00705422">
              <w:trPr>
                <w:trHeight w:val="170"/>
                <w:jc w:val="center"/>
              </w:trPr>
              <w:tc>
                <w:tcPr>
                  <w:tcW w:w="1440" w:type="dxa"/>
                  <w:shd w:val="clear" w:color="auto" w:fill="auto"/>
                </w:tcPr>
                <w:p w14:paraId="1F0D1318"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Everett</w:t>
                  </w:r>
                </w:p>
              </w:tc>
              <w:tc>
                <w:tcPr>
                  <w:tcW w:w="758" w:type="dxa"/>
                  <w:shd w:val="clear" w:color="auto" w:fill="auto"/>
                </w:tcPr>
                <w:p w14:paraId="1F0D1319"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2006</w:t>
                  </w:r>
                </w:p>
              </w:tc>
              <w:tc>
                <w:tcPr>
                  <w:tcW w:w="2544" w:type="dxa"/>
                  <w:shd w:val="clear" w:color="auto" w:fill="auto"/>
                </w:tcPr>
                <w:p w14:paraId="1F0D131A" w14:textId="77777777" w:rsidR="00705422" w:rsidRPr="00B45667" w:rsidRDefault="00705422" w:rsidP="00705422">
                  <w:pPr>
                    <w:rPr>
                      <w:rFonts w:cs="Times New Roman"/>
                      <w:sz w:val="10"/>
                      <w:szCs w:val="10"/>
                    </w:rPr>
                  </w:pPr>
                </w:p>
              </w:tc>
              <w:tc>
                <w:tcPr>
                  <w:tcW w:w="1176" w:type="dxa"/>
                  <w:shd w:val="clear" w:color="auto" w:fill="auto"/>
                  <w:vAlign w:val="center"/>
                </w:tcPr>
                <w:p w14:paraId="1F0D131B"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0,72 (0,58‒0,89)</w:t>
                  </w:r>
                </w:p>
              </w:tc>
              <w:tc>
                <w:tcPr>
                  <w:tcW w:w="912" w:type="dxa"/>
                  <w:shd w:val="clear" w:color="auto" w:fill="auto"/>
                  <w:vAlign w:val="center"/>
                </w:tcPr>
                <w:p w14:paraId="1F0D131C"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14,78</w:t>
                  </w:r>
                </w:p>
              </w:tc>
            </w:tr>
            <w:tr w:rsidR="00705422" w:rsidRPr="00B45667" w14:paraId="1F0D1323" w14:textId="77777777" w:rsidTr="00705422">
              <w:trPr>
                <w:trHeight w:val="170"/>
                <w:jc w:val="center"/>
              </w:trPr>
              <w:tc>
                <w:tcPr>
                  <w:tcW w:w="1440" w:type="dxa"/>
                  <w:shd w:val="clear" w:color="auto" w:fill="auto"/>
                </w:tcPr>
                <w:p w14:paraId="1F0D131E"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Kieboom</w:t>
                  </w:r>
                </w:p>
              </w:tc>
              <w:tc>
                <w:tcPr>
                  <w:tcW w:w="758" w:type="dxa"/>
                  <w:shd w:val="clear" w:color="auto" w:fill="auto"/>
                </w:tcPr>
                <w:p w14:paraId="1F0D131F"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2017</w:t>
                  </w:r>
                </w:p>
              </w:tc>
              <w:tc>
                <w:tcPr>
                  <w:tcW w:w="2544" w:type="dxa"/>
                  <w:shd w:val="clear" w:color="auto" w:fill="auto"/>
                </w:tcPr>
                <w:p w14:paraId="1F0D1320" w14:textId="77777777" w:rsidR="00705422" w:rsidRPr="00B45667" w:rsidRDefault="00705422" w:rsidP="00705422">
                  <w:pPr>
                    <w:pStyle w:val="a4"/>
                    <w:shd w:val="clear" w:color="auto" w:fill="auto"/>
                    <w:spacing w:line="240" w:lineRule="auto"/>
                    <w:rPr>
                      <w:rFonts w:cs="Times New Roman"/>
                    </w:rPr>
                  </w:pPr>
                </w:p>
              </w:tc>
              <w:tc>
                <w:tcPr>
                  <w:tcW w:w="1176" w:type="dxa"/>
                  <w:shd w:val="clear" w:color="auto" w:fill="auto"/>
                  <w:vAlign w:val="center"/>
                </w:tcPr>
                <w:p w14:paraId="1F0D1321"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0,85 (0,75–0,96)</w:t>
                  </w:r>
                </w:p>
              </w:tc>
              <w:tc>
                <w:tcPr>
                  <w:tcW w:w="912" w:type="dxa"/>
                  <w:shd w:val="clear" w:color="auto" w:fill="auto"/>
                  <w:vAlign w:val="center"/>
                </w:tcPr>
                <w:p w14:paraId="1F0D1322"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lang w:bidi="ru-RU"/>
                    </w:rPr>
                    <w:t>23,99</w:t>
                  </w:r>
                </w:p>
              </w:tc>
            </w:tr>
            <w:tr w:rsidR="00705422" w:rsidRPr="00B45667" w14:paraId="1F0D1328" w14:textId="77777777" w:rsidTr="00705422">
              <w:trPr>
                <w:trHeight w:val="170"/>
                <w:jc w:val="center"/>
              </w:trPr>
              <w:tc>
                <w:tcPr>
                  <w:tcW w:w="2198" w:type="dxa"/>
                  <w:gridSpan w:val="2"/>
                  <w:shd w:val="clear" w:color="auto" w:fill="auto"/>
                </w:tcPr>
                <w:p w14:paraId="1F0D1324" w14:textId="77777777" w:rsidR="00705422" w:rsidRPr="00B45667" w:rsidRDefault="00705422" w:rsidP="00705422">
                  <w:pPr>
                    <w:pStyle w:val="a4"/>
                    <w:shd w:val="clear" w:color="auto" w:fill="auto"/>
                    <w:spacing w:line="240" w:lineRule="auto"/>
                    <w:rPr>
                      <w:rFonts w:cs="Times New Roman"/>
                    </w:rPr>
                  </w:pPr>
                  <w:r w:rsidRPr="00B45667">
                    <w:rPr>
                      <w:rFonts w:eastAsia="Times New Roman" w:cs="Times New Roman"/>
                      <w:lang w:bidi="ru-RU"/>
                    </w:rPr>
                    <w:t>Неоднородность (</w:t>
                  </w:r>
                  <w:r w:rsidRPr="00B45667">
                    <w:rPr>
                      <w:rFonts w:eastAsia="Times New Roman" w:cs="Times New Roman"/>
                      <w:i/>
                      <w:lang w:bidi="ru-RU"/>
                    </w:rPr>
                    <w:t>I</w:t>
                  </w:r>
                  <w:r w:rsidRPr="00B45667">
                    <w:rPr>
                      <w:rFonts w:eastAsia="Lucida Sans Unicode" w:cs="Times New Roman"/>
                      <w:sz w:val="11"/>
                      <w:szCs w:val="11"/>
                      <w:vertAlign w:val="superscript"/>
                      <w:lang w:bidi="ru-RU"/>
                    </w:rPr>
                    <w:t>2</w:t>
                  </w:r>
                  <w:r w:rsidRPr="00B45667">
                    <w:rPr>
                      <w:rFonts w:eastAsia="Lucida Sans Unicode" w:cs="Times New Roman"/>
                      <w:sz w:val="11"/>
                      <w:szCs w:val="11"/>
                      <w:lang w:bidi="ru-RU"/>
                    </w:rPr>
                    <w:t> </w:t>
                  </w:r>
                  <w:r w:rsidRPr="00B45667">
                    <w:rPr>
                      <w:rFonts w:eastAsia="Times New Roman" w:cs="Times New Roman"/>
                      <w:lang w:bidi="ru-RU"/>
                    </w:rPr>
                    <w:t xml:space="preserve">= 76,4 %, </w:t>
                  </w:r>
                  <w:r w:rsidRPr="00B45667">
                    <w:rPr>
                      <w:rFonts w:eastAsia="Times New Roman" w:cs="Times New Roman"/>
                      <w:i/>
                      <w:lang w:bidi="ru-RU"/>
                    </w:rPr>
                    <w:t>P</w:t>
                  </w:r>
                  <w:r w:rsidRPr="00B45667">
                    <w:rPr>
                      <w:rFonts w:eastAsia="Times New Roman" w:cs="Times New Roman"/>
                      <w:lang w:bidi="ru-RU"/>
                    </w:rPr>
                    <w:t> = 0,01)</w:t>
                  </w:r>
                </w:p>
              </w:tc>
              <w:tc>
                <w:tcPr>
                  <w:tcW w:w="2544" w:type="dxa"/>
                  <w:shd w:val="clear" w:color="auto" w:fill="auto"/>
                </w:tcPr>
                <w:p w14:paraId="1F0D1325" w14:textId="77777777" w:rsidR="00705422" w:rsidRPr="00B45667" w:rsidRDefault="00705422" w:rsidP="00705422">
                  <w:pPr>
                    <w:pStyle w:val="a4"/>
                    <w:shd w:val="clear" w:color="auto" w:fill="auto"/>
                    <w:spacing w:line="240" w:lineRule="auto"/>
                    <w:rPr>
                      <w:rFonts w:cs="Times New Roman"/>
                    </w:rPr>
                  </w:pPr>
                </w:p>
              </w:tc>
              <w:tc>
                <w:tcPr>
                  <w:tcW w:w="1176" w:type="dxa"/>
                  <w:shd w:val="clear" w:color="auto" w:fill="auto"/>
                  <w:vAlign w:val="center"/>
                </w:tcPr>
                <w:p w14:paraId="1F0D1326"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b/>
                      <w:lang w:bidi="ru-RU"/>
                    </w:rPr>
                    <w:t>0,90 (0,81‒1,002)</w:t>
                  </w:r>
                </w:p>
              </w:tc>
              <w:tc>
                <w:tcPr>
                  <w:tcW w:w="912" w:type="dxa"/>
                  <w:shd w:val="clear" w:color="auto" w:fill="auto"/>
                  <w:vAlign w:val="center"/>
                </w:tcPr>
                <w:p w14:paraId="1F0D1327" w14:textId="77777777" w:rsidR="00705422" w:rsidRPr="00B45667" w:rsidRDefault="00705422" w:rsidP="00705422">
                  <w:pPr>
                    <w:pStyle w:val="a4"/>
                    <w:shd w:val="clear" w:color="auto" w:fill="auto"/>
                    <w:spacing w:line="240" w:lineRule="auto"/>
                    <w:jc w:val="center"/>
                    <w:rPr>
                      <w:rFonts w:cs="Times New Roman"/>
                    </w:rPr>
                  </w:pPr>
                  <w:r w:rsidRPr="00B45667">
                    <w:rPr>
                      <w:rFonts w:eastAsia="Times New Roman" w:cs="Times New Roman"/>
                      <w:b/>
                      <w:lang w:bidi="ru-RU"/>
                    </w:rPr>
                    <w:t>100,00</w:t>
                  </w:r>
                </w:p>
              </w:tc>
            </w:tr>
          </w:tbl>
          <w:p w14:paraId="1F0D1329" w14:textId="77777777" w:rsidR="00705422" w:rsidRPr="00B45667" w:rsidRDefault="00705422" w:rsidP="00705422">
            <w:pPr>
              <w:jc w:val="center"/>
              <w:rPr>
                <w:rFonts w:cs="Times New Roman"/>
                <w:sz w:val="8"/>
                <w:szCs w:val="8"/>
              </w:rPr>
            </w:pPr>
          </w:p>
          <w:p w14:paraId="1F0D132A" w14:textId="77777777" w:rsidR="00705422" w:rsidRPr="00B45667" w:rsidRDefault="00705422" w:rsidP="00705422">
            <w:pPr>
              <w:jc w:val="center"/>
              <w:rPr>
                <w:rFonts w:cs="Times New Roman"/>
                <w:sz w:val="8"/>
                <w:szCs w:val="8"/>
              </w:rPr>
            </w:pPr>
          </w:p>
          <w:p w14:paraId="1F0D132B" w14:textId="77777777" w:rsidR="00705422" w:rsidRPr="00B45667" w:rsidRDefault="00705422" w:rsidP="00705422">
            <w:pPr>
              <w:jc w:val="center"/>
              <w:rPr>
                <w:rFonts w:cs="Times New Roman"/>
                <w:sz w:val="8"/>
                <w:szCs w:val="8"/>
              </w:rPr>
            </w:pPr>
          </w:p>
          <w:p w14:paraId="1F0D132C" w14:textId="77777777" w:rsidR="00705422" w:rsidRPr="00B45667" w:rsidRDefault="00705422" w:rsidP="00705422">
            <w:pPr>
              <w:jc w:val="center"/>
              <w:rPr>
                <w:rFonts w:cs="Times New Roman"/>
                <w:sz w:val="8"/>
                <w:szCs w:val="8"/>
              </w:rPr>
            </w:pPr>
          </w:p>
          <w:p w14:paraId="1F0D132D" w14:textId="77777777" w:rsidR="00705422" w:rsidRPr="00B45667" w:rsidRDefault="00705422" w:rsidP="00705422">
            <w:pPr>
              <w:jc w:val="center"/>
              <w:rPr>
                <w:rFonts w:cs="Times New Roman"/>
                <w:sz w:val="8"/>
                <w:szCs w:val="8"/>
              </w:rPr>
            </w:pPr>
          </w:p>
          <w:p w14:paraId="1F0D132E" w14:textId="77777777" w:rsidR="00705422" w:rsidRPr="00B45667" w:rsidRDefault="00705422" w:rsidP="00705422">
            <w:pPr>
              <w:rPr>
                <w:rFonts w:cs="Times New Roman"/>
                <w:sz w:val="8"/>
                <w:szCs w:val="8"/>
              </w:rPr>
            </w:pPr>
          </w:p>
          <w:p w14:paraId="1F0D132F" w14:textId="77777777" w:rsidR="00705422" w:rsidRPr="00B45667" w:rsidRDefault="00966C57" w:rsidP="00665BC1">
            <w:pPr>
              <w:widowControl/>
              <w:autoSpaceDE w:val="0"/>
              <w:autoSpaceDN w:val="0"/>
              <w:adjustRightInd w:val="0"/>
              <w:spacing w:before="120" w:after="120"/>
              <w:ind w:left="57" w:right="57"/>
              <w:jc w:val="both"/>
              <w:rPr>
                <w:rFonts w:cs="Times New Roman"/>
                <w:sz w:val="8"/>
                <w:szCs w:val="8"/>
              </w:rPr>
            </w:pPr>
            <w:r w:rsidRPr="00B45667">
              <w:rPr>
                <w:rFonts w:eastAsia="Segoe UI" w:cs="Times New Roman"/>
                <w:b/>
                <w:sz w:val="16"/>
                <w:szCs w:val="16"/>
                <w:lang w:bidi="ru-RU"/>
              </w:rPr>
              <w:t xml:space="preserve">Рис. 4. </w:t>
            </w:r>
            <w:r w:rsidRPr="00B45667">
              <w:rPr>
                <w:rFonts w:eastAsia="Lucida Sans Unicode" w:cs="Times New Roman"/>
                <w:sz w:val="16"/>
                <w:szCs w:val="16"/>
                <w:lang w:bidi="ru-RU"/>
              </w:rPr>
              <w:t>Скорректированные с учетом нескольких переменных величины ОР (95 % ДИ) развития СД 2 типа, при сравнении самой высокой и самой низкой концентрации Mg или при анализе пошагового увеличения концентрации Mg в крови на 0,1 ммоль/л, в проспективных когортных исследованиях Общая оценка получена при анализе модели со случайными эффектами. Точки обозначают скорректированные величины ОР. Площадь затененного квадрата пропорциональна весу каждого исследования. Горизонтальными линиями отмечены 95 % ДИ. Ромбовидные метки обозначают величины совокупного ОР. Сокращения:  ДИ ― доверительный интервал; ОР ― относительный риск; СД ― сахарный диабет</w:t>
            </w:r>
          </w:p>
        </w:tc>
      </w:tr>
    </w:tbl>
    <w:p w14:paraId="1F0D1331" w14:textId="77777777" w:rsidR="00966C57" w:rsidRPr="00B45667" w:rsidRDefault="00966C57" w:rsidP="00966C57">
      <w:pPr>
        <w:pStyle w:val="20"/>
        <w:shd w:val="clear" w:color="auto" w:fill="auto"/>
        <w:spacing w:line="240" w:lineRule="auto"/>
        <w:rPr>
          <w:sz w:val="16"/>
          <w:szCs w:val="16"/>
        </w:rPr>
      </w:pPr>
    </w:p>
    <w:p w14:paraId="1F0D1332" w14:textId="77777777" w:rsidR="004577D8" w:rsidRPr="00B45667" w:rsidRDefault="00722C17" w:rsidP="00966C57">
      <w:pPr>
        <w:pStyle w:val="20"/>
        <w:shd w:val="clear" w:color="auto" w:fill="auto"/>
        <w:jc w:val="both"/>
      </w:pPr>
      <w:r w:rsidRPr="00B45667">
        <w:rPr>
          <w:lang w:bidi="ru-RU"/>
        </w:rPr>
        <w:t>(0,94; 95 % ДИ от 0,90 до 0,98; P &lt; 0,01) (см. приложение</w:t>
      </w:r>
      <w:hyperlink w:anchor="bookmark45" w:tooltip="Текущий документ">
        <w:r w:rsidRPr="00B45667">
          <w:rPr>
            <w:lang w:bidi="ru-RU"/>
          </w:rPr>
          <w:t xml:space="preserve"> 1</w:t>
        </w:r>
      </w:hyperlink>
      <w:r w:rsidRPr="00B45667">
        <w:rPr>
          <w:lang w:bidi="ru-RU"/>
        </w:rPr>
        <w:t>: таблица S3 в сопроводительных материалах).</w:t>
      </w:r>
    </w:p>
    <w:p w14:paraId="1F0D1333" w14:textId="77777777" w:rsidR="004577D8" w:rsidRPr="00B45667" w:rsidRDefault="00722C17" w:rsidP="00966C57">
      <w:pPr>
        <w:pStyle w:val="20"/>
        <w:shd w:val="clear" w:color="auto" w:fill="auto"/>
        <w:ind w:firstLine="360"/>
        <w:jc w:val="both"/>
      </w:pPr>
      <w:r w:rsidRPr="00B45667">
        <w:rPr>
          <w:lang w:bidi="ru-RU"/>
        </w:rPr>
        <w:t>В приложении</w:t>
      </w:r>
      <w:hyperlink w:anchor="bookmark45" w:tooltip="Текущий документ">
        <w:r w:rsidRPr="00B45667">
          <w:rPr>
            <w:lang w:bidi="ru-RU"/>
          </w:rPr>
          <w:t xml:space="preserve"> 1</w:t>
        </w:r>
      </w:hyperlink>
      <w:r w:rsidRPr="00B45667">
        <w:rPr>
          <w:lang w:bidi="ru-RU"/>
        </w:rPr>
        <w:t xml:space="preserve">: в таблице S4 (см. сопроводительные материалы) представлено влияние отдельных исследований на общую оценку изучаемых зависимостей при удалении каждого исследования из объединенного анализа. Категориальная зависимость между концентрацией Mg в крови (самой высокой по сравнению с самой низкой) и частотой развития ИБС ослаблялась в некоторой степени при удалении из анализа исследования Gartside и соавт. [23] (ОР 092; 95 % ДИ от 0,82 до 1,03; P = 0,16), Liao и соавт. [24] (когорта женщин: ОР 0,88; 95 % ДИ от 0,76 до 1,01; P = 0,07; когорта мужчин: ОР 0,86; 95 % ДИ от 0,73 до 1,02; P = 0.08), Ford и соавт. [25] (ОР 0,83; 95 % </w:t>
      </w:r>
      <w:r w:rsidRPr="00B45667">
        <w:rPr>
          <w:lang w:bidi="ru-RU"/>
        </w:rPr>
        <w:lastRenderedPageBreak/>
        <w:t>ДИ от 0,68 до 1,02; P = 0.08) или Khan и соавт. [26] (ОР 0,84; 95 % ДИ от 0,70 до 1,02; P = 0,08). Линейная зависимость между концентрацией Mg в крови и частотой развития ИБС усиливалась и становилась статистически значимой (ОР 0,84; 95 % ДИ от 0,71 до 0,99; P = 0,04) при удалении из анализа исследования Ford и соавт. [25].</w:t>
      </w:r>
    </w:p>
    <w:p w14:paraId="1F0D1334" w14:textId="77777777" w:rsidR="004577D8" w:rsidRPr="00B45667" w:rsidRDefault="00722C17" w:rsidP="00966C57">
      <w:pPr>
        <w:pStyle w:val="20"/>
        <w:shd w:val="clear" w:color="auto" w:fill="auto"/>
        <w:ind w:firstLine="360"/>
        <w:jc w:val="both"/>
      </w:pPr>
      <w:r w:rsidRPr="00B45667">
        <w:rPr>
          <w:lang w:bidi="ru-RU"/>
        </w:rPr>
        <w:t>Ни одно конкретное исследование существенно не изменяло категориальную зависимость между концентрацией Mg в крови (самой высокой по сравнению с самой низкой) и частотой развития АГ. Однако при удалении женской когорты исследования Peacock и соавт. [28] общая линейная зависимость между концентрацией Mg в крови и частотой развития АГ ослабевала и становилась статистически незначимой (ОР 0,97; 95 % ДИ от 0,93 до 1,01; P = 0,20).</w:t>
      </w:r>
    </w:p>
    <w:p w14:paraId="1F0D1335" w14:textId="77777777" w:rsidR="004577D8" w:rsidRPr="00B45667" w:rsidRDefault="00722C17" w:rsidP="00966C57">
      <w:pPr>
        <w:pStyle w:val="20"/>
        <w:shd w:val="clear" w:color="auto" w:fill="auto"/>
        <w:ind w:firstLine="360"/>
        <w:jc w:val="both"/>
      </w:pPr>
      <w:r w:rsidRPr="00B45667">
        <w:rPr>
          <w:lang w:bidi="ru-RU"/>
        </w:rPr>
        <w:t>Общая категориальная зависимость между концентрацией Mg в крови (самой высокой по сравнению с самой низкой) и частотой развития СД 2 типа сохранялась при поочередном удалении любого исследования из метаанализа, тогда как линейная зависимость между концентрацией Mg в крови и частотой развития СД 2 типа усиливалась и становилась статистически значимой при удалении из метаанализа исследования Kao и соавт. [</w:t>
      </w:r>
      <w:hyperlink w:anchor="bookmark42" w:tooltip="Текущий документ">
        <w:r w:rsidRPr="00B45667">
          <w:rPr>
            <w:lang w:bidi="ru-RU"/>
          </w:rPr>
          <w:t>11</w:t>
        </w:r>
      </w:hyperlink>
      <w:r w:rsidRPr="00B45667">
        <w:rPr>
          <w:lang w:bidi="ru-RU"/>
        </w:rPr>
        <w:t>] (ОР 0,86; 95 % ДИ от 0,75 до 0,97; P = 0,02).</w:t>
      </w:r>
    </w:p>
    <w:p w14:paraId="1F0D1336" w14:textId="77777777" w:rsidR="004577D8" w:rsidRPr="00B45667" w:rsidRDefault="00722C17" w:rsidP="00966C57">
      <w:pPr>
        <w:pStyle w:val="20"/>
        <w:shd w:val="clear" w:color="auto" w:fill="auto"/>
        <w:ind w:firstLine="360"/>
        <w:jc w:val="both"/>
      </w:pPr>
      <w:r w:rsidRPr="00B45667">
        <w:rPr>
          <w:lang w:bidi="ru-RU"/>
        </w:rPr>
        <w:t>Кроме того, когда мы преобразовали ОШ в ОР в одном исследовании по АГ [28] и еще в одном по СД [</w:t>
      </w:r>
      <w:hyperlink w:anchor="bookmark42" w:tooltip="Текущий документ">
        <w:r w:rsidRPr="00B45667">
          <w:rPr>
            <w:lang w:bidi="ru-RU"/>
          </w:rPr>
          <w:t>11</w:t>
        </w:r>
      </w:hyperlink>
      <w:r w:rsidRPr="00B45667">
        <w:rPr>
          <w:lang w:bidi="ru-RU"/>
        </w:rPr>
        <w:t>], полученные результаты фактически не изменились (данные не показаны).</w:t>
      </w:r>
    </w:p>
    <w:p w14:paraId="1F0D1338" w14:textId="77777777" w:rsidR="004577D8" w:rsidRPr="00B45667" w:rsidRDefault="00722C17" w:rsidP="004E6760">
      <w:pPr>
        <w:pStyle w:val="10"/>
      </w:pPr>
      <w:bookmarkStart w:id="32" w:name="bookmark34"/>
      <w:bookmarkStart w:id="33" w:name="bookmark35"/>
      <w:r w:rsidRPr="00B45667">
        <w:t>Обсуждение</w:t>
      </w:r>
      <w:bookmarkEnd w:id="32"/>
      <w:bookmarkEnd w:id="33"/>
    </w:p>
    <w:p w14:paraId="1F0D1339" w14:textId="77777777" w:rsidR="004577D8" w:rsidRPr="00B45667" w:rsidRDefault="00722C17" w:rsidP="00966C57">
      <w:pPr>
        <w:pStyle w:val="20"/>
        <w:shd w:val="clear" w:color="auto" w:fill="auto"/>
        <w:jc w:val="both"/>
      </w:pPr>
      <w:r w:rsidRPr="00B45667">
        <w:rPr>
          <w:lang w:bidi="ru-RU"/>
        </w:rPr>
        <w:t>Результаты данного метаанализа проспективных когортных исследований указывают на наличие обратной зависимости между концентрацией Mg в крови и частотой ИБС, АГ и СД 2 типа. Настоящее исследование дополняет результаты предыдущих систематических обзоров по потреблению Mg с пищей и предоставляет дополнительные доказательства в поддержку потенциального благоприятного влияния Mg на ССЗ и СД.</w:t>
      </w:r>
    </w:p>
    <w:p w14:paraId="1F0D133A" w14:textId="77777777" w:rsidR="00966C57" w:rsidRPr="00B45667" w:rsidRDefault="00966C57" w:rsidP="00966C57">
      <w:pPr>
        <w:pStyle w:val="20"/>
        <w:shd w:val="clear" w:color="auto" w:fill="auto"/>
        <w:jc w:val="both"/>
      </w:pPr>
    </w:p>
    <w:p w14:paraId="1F0D133B" w14:textId="77777777" w:rsidR="004577D8" w:rsidRPr="00B45667" w:rsidRDefault="00722C17" w:rsidP="00367D06">
      <w:pPr>
        <w:pStyle w:val="22"/>
      </w:pPr>
      <w:bookmarkStart w:id="34" w:name="bookmark36"/>
      <w:bookmarkStart w:id="35" w:name="bookmark37"/>
      <w:r w:rsidRPr="00B45667">
        <w:t>Сопоставление с предыдущими обзорами</w:t>
      </w:r>
      <w:bookmarkEnd w:id="34"/>
      <w:bookmarkEnd w:id="35"/>
    </w:p>
    <w:p w14:paraId="1F0D133D" w14:textId="464AF756" w:rsidR="004577D8" w:rsidRPr="00B45667" w:rsidRDefault="00722C17" w:rsidP="00966C57">
      <w:pPr>
        <w:pStyle w:val="20"/>
        <w:shd w:val="clear" w:color="auto" w:fill="auto"/>
        <w:jc w:val="both"/>
      </w:pPr>
      <w:r w:rsidRPr="00B45667">
        <w:rPr>
          <w:lang w:bidi="ru-RU"/>
        </w:rPr>
        <w:t>Хотя ни один из ранее проведенных метаанализов не был посвящен конкретно оценке частоты развития ИБС, в нескольких из них изучалась зависимость между концентрацией Mg в крови и риском ССЗ [</w:t>
      </w:r>
      <w:hyperlink w:anchor="bookmark42" w:tooltip="Текущий документ">
        <w:r w:rsidRPr="00B45667">
          <w:rPr>
            <w:lang w:bidi="ru-RU"/>
          </w:rPr>
          <w:t>13</w:t>
        </w:r>
      </w:hyperlink>
      <w:r w:rsidRPr="00B45667">
        <w:rPr>
          <w:lang w:bidi="ru-RU"/>
        </w:rPr>
        <w:t>, 34]. В одном метаанализе проспективных исследований опубликованном в 2013 г., изучалась частота развития ССЗ и смертность и было установлено, что увеличение концентрации Mg в крови на каждые 0,2 ммоль/л ассоциировано со снижением риска ССЗ на 30 % и ишемической болезни сердца ― на 17 % [</w:t>
      </w:r>
      <w:hyperlink w:anchor="bookmark42" w:tooltip="Текущий документ">
        <w:r w:rsidRPr="00B45667">
          <w:rPr>
            <w:lang w:bidi="ru-RU"/>
          </w:rPr>
          <w:t>13</w:t>
        </w:r>
      </w:hyperlink>
      <w:r w:rsidRPr="00B45667">
        <w:rPr>
          <w:lang w:bidi="ru-RU"/>
        </w:rPr>
        <w:t xml:space="preserve">]. По данным другого метаанализа, также опубликованного в 2013 г., совокупный ОР всех сердечно-сосудистых событий (включая новые случаи ССЗ и смертность) был на 23 % ниже при сравнении самой высокой и самой низкой концентрации Mg [34]. Кроме того, в недавно проведенном метаанализе была выявлена значимая, но неоднородная обратная зависимость между концентрацией Mg в сыворотке крови и частотой метаболического синдрома [40]. Еще в одном новом метаанализе изучалась связь между уровнем потребления Mg с продуктами питания (но не его концентрация в крови) и другими конечными точками ССЗ [41]. Напротив, мы сосредоточили внимание на изучении событий, указывающих на развитие ИБС, и полученные нами результаты дополняют имеющиеся литературные данные. </w:t>
      </w:r>
    </w:p>
    <w:p w14:paraId="1F0D133E" w14:textId="77777777" w:rsidR="004577D8" w:rsidRPr="00B45667" w:rsidRDefault="00722C17" w:rsidP="00966C57">
      <w:pPr>
        <w:pStyle w:val="20"/>
        <w:shd w:val="clear" w:color="auto" w:fill="auto"/>
        <w:ind w:firstLine="360"/>
        <w:jc w:val="both"/>
      </w:pPr>
      <w:r w:rsidRPr="00B45667">
        <w:rPr>
          <w:lang w:bidi="ru-RU"/>
        </w:rPr>
        <w:t>Насколько нам известно, это первый систематический обзор, объединивший исследования, в которых изучалась концентрация Mg в крови и частота развития АГ. Полученные нами результаты в целом согласуются с предыдущими обзорами и метаанализами интервенционных исследований применения Mg-содержащих добавок к пище [42-44]. Например, в одном метаанализе клинических исследований было выявлено, что прием Mg-содержащих добавок к пище приводит к снижению систолического артериального давления (САД) (на 3‒4 мм рт.ст.) и диастолического артериального давления (ДАД) (на 2‒3 мм рт.ст.) как у лиц с нормальным артериальным давлением, так и у пациентов с АГ [43]. Результаты другого метаанализа показали, что Mg-содержащие добавки к пище значимо снижают САД (на 18,7 мм рт.ст.) и ДАД (на 10,9 мм рт.ст.) у пациентов с АГ и САД &gt; 155 мм рт.ст. [44].</w:t>
      </w:r>
    </w:p>
    <w:p w14:paraId="1F0D133F" w14:textId="77777777" w:rsidR="004577D8" w:rsidRPr="00B45667" w:rsidRDefault="00722C17" w:rsidP="00966C57">
      <w:pPr>
        <w:pStyle w:val="20"/>
        <w:shd w:val="clear" w:color="auto" w:fill="auto"/>
        <w:ind w:firstLine="360"/>
        <w:jc w:val="both"/>
      </w:pPr>
      <w:r w:rsidRPr="00B45667">
        <w:rPr>
          <w:lang w:bidi="ru-RU"/>
        </w:rPr>
        <w:t>В нескольких метаанализах изучалась зависимость между потреблением Mg с пищей и риском развития СД [</w:t>
      </w:r>
      <w:hyperlink w:anchor="bookmark42" w:tooltip="Текущий документ">
        <w:r w:rsidRPr="00B45667">
          <w:rPr>
            <w:lang w:bidi="ru-RU"/>
          </w:rPr>
          <w:t>9</w:t>
        </w:r>
      </w:hyperlink>
      <w:r w:rsidRPr="00B45667">
        <w:rPr>
          <w:lang w:bidi="ru-RU"/>
        </w:rPr>
        <w:t>, 45-47]. Например, в обновленном метаанализе проспективных когортных исследований, опубликованном в 2015 г., установлена достоверная обратная зависимость между потреблением Mg и риском СД 2 типа, причем отмечался нелинейный дозозависимый ответ (</w:t>
      </w:r>
      <w:r w:rsidRPr="00B45667">
        <w:rPr>
          <w:i/>
          <w:lang w:bidi="ru-RU"/>
        </w:rPr>
        <w:t>p</w:t>
      </w:r>
      <w:r w:rsidRPr="00B45667">
        <w:rPr>
          <w:lang w:bidi="ru-RU"/>
        </w:rPr>
        <w:t>-значение для нелинейности</w:t>
      </w:r>
      <w:r w:rsidRPr="00B45667">
        <w:rPr>
          <w:i/>
          <w:vertAlign w:val="subscript"/>
          <w:lang w:bidi="ru-RU"/>
        </w:rPr>
        <w:t> </w:t>
      </w:r>
      <w:r w:rsidRPr="00B45667">
        <w:rPr>
          <w:lang w:bidi="ru-RU"/>
        </w:rPr>
        <w:t>= 0,003) [45]. Кроме того, самый свежий опубликованный систематический обзор и метаанализ рандомизированных клинических исследований показал, что прием Mg-содержащих добавок к пище вел к улучшению чувствительности к инсулину у лиц с высоким риском развития СД [48]. Аналогичным образом, результаты нашего метаанализа зависимости между концентрацией Mg в крови и риском развития СД 2 типа дополняют результаты предыдущих систематических обзоров, посвященных потреблению Mg с продуктами питания или приему Mg-содержащих добавок к пище.</w:t>
      </w:r>
    </w:p>
    <w:p w14:paraId="1F0D1341" w14:textId="77777777" w:rsidR="004577D8" w:rsidRPr="00B45667" w:rsidRDefault="00722C17" w:rsidP="00367D06">
      <w:pPr>
        <w:pStyle w:val="22"/>
      </w:pPr>
      <w:bookmarkStart w:id="36" w:name="bookmark38"/>
      <w:bookmarkStart w:id="37" w:name="bookmark39"/>
      <w:r w:rsidRPr="00B45667">
        <w:t>Сильные стороны и ограничения</w:t>
      </w:r>
      <w:bookmarkEnd w:id="36"/>
      <w:bookmarkEnd w:id="37"/>
    </w:p>
    <w:p w14:paraId="1F0D1342" w14:textId="77777777" w:rsidR="004577D8" w:rsidRPr="00B45667" w:rsidRDefault="00722C17" w:rsidP="00966C57">
      <w:pPr>
        <w:pStyle w:val="20"/>
        <w:shd w:val="clear" w:color="auto" w:fill="auto"/>
        <w:jc w:val="both"/>
      </w:pPr>
      <w:r w:rsidRPr="00B45667">
        <w:rPr>
          <w:lang w:bidi="ru-RU"/>
        </w:rPr>
        <w:t xml:space="preserve">Проведенный нами метаанализ имеет ряд преимуществ. Во-первых, это первый современный метаанализ, в котором была изучена зависимость между концентрацией Mg в крови и частотой развития ИБС, АГ и СД 2 типа в </w:t>
      </w:r>
      <w:r w:rsidRPr="00B45667">
        <w:rPr>
          <w:lang w:bidi="ru-RU"/>
        </w:rPr>
        <w:lastRenderedPageBreak/>
        <w:t>совокупности в общей популяции. Во-вторых, этот метаанализ базируется на данных проспективных когортных исследований высокого и среднего качества с участием разных групп населения, что снижает вероятность того, что наши результаты подвержены существенной систематической ошибке в результате ограничений, присущих исходным исследованиям. В-третьих, совокупный объем выборки был относительно большим, а высокая длительность наблюдения позволила нам изучить долгосрочные зависимости. Учитывая, что в рандомизированные контролируемые исследования включаются относительно небольшие выборки с короткими периодами наблюдения, наше исследование существенно дополняет имеющиеся литературные данные. Наконец, наши выводы подкрепляются в целом совпадающими результатами анализов категориальной и линейной зависимости, а также надежными данными анализов чувствительности.</w:t>
      </w:r>
    </w:p>
    <w:p w14:paraId="1F0D1343" w14:textId="77777777" w:rsidR="004577D8" w:rsidRPr="00B45667" w:rsidRDefault="00722C17" w:rsidP="00966C57">
      <w:pPr>
        <w:pStyle w:val="20"/>
        <w:shd w:val="clear" w:color="auto" w:fill="auto"/>
        <w:ind w:firstLine="360"/>
        <w:jc w:val="both"/>
      </w:pPr>
      <w:r w:rsidRPr="00B45667">
        <w:rPr>
          <w:lang w:bidi="ru-RU"/>
        </w:rPr>
        <w:t>Необходимо также упомянуть некоторые ограничения. Хотя мы выявили достоверные зависимости, настоящий метаанализ основывался всего на 10 опубликованных когортных исследованиях. Ограниченное количество источников данных не только не позволило нам провести стратифицированный анализ или анализ в подгруппах, но и потенциально могло привести к переоценке или недооценке истинных зависимостей. Во-вторых, как и в других метаанализах наблюдательных исследований, ограничения, свойственные исходным исследованиям, могут внести систематическую ошибку в совокупные результаты, хотя в отобранных нами исходных исследованиях проводилась коррекция с учетом различных потенциальных искажающих факторов. Следует отметить, что такие факторы, как семейный анамнез хронических заболеваний и информация о приеме препаратов, влияющих на метаболизм Mg, редко упоминались в исследованиях, включенных в анализ. В-третьих, нельзя полностью исключить возможность ошибочной классификации как воздействия, так и изучаемых исходов. Однако в большинстве включенных в анализ исследований для оценки концентрации Mg использовались объективные биомаркеры, а для оценки исходов ― объективные данные (напр., записи в историях болезни и свидетельства о смерти). В-четвертых, хотя мы не обнаружили признаков систематической ошибки, связанной с предвзятостью публикаций, вероятность такой ошибки не может быть полностью исключена по причине наличия публикаций на других языках. И , наконец, принимая во внимание, что концентрация Mg в крови может быть не лучшим биомаркером, в будущих исследованиях определенно должна быть проведена оценка других биомаркеров (напр., содержание Mg в эритроцитах и концентрация ионизированного Mg), в зависимости от масштаба исследования и других соображений, таких как бюджет и этическая сторона вопроса.</w:t>
      </w:r>
    </w:p>
    <w:p w14:paraId="1F0D1345" w14:textId="77777777" w:rsidR="004577D8" w:rsidRPr="00B45667" w:rsidRDefault="00722C17" w:rsidP="00367D06">
      <w:pPr>
        <w:pStyle w:val="22"/>
      </w:pPr>
      <w:bookmarkStart w:id="38" w:name="bookmark40"/>
      <w:bookmarkStart w:id="39" w:name="bookmark41"/>
      <w:r w:rsidRPr="00B45667">
        <w:t>Потенциальные механизмы</w:t>
      </w:r>
      <w:bookmarkEnd w:id="38"/>
      <w:bookmarkEnd w:id="39"/>
    </w:p>
    <w:p w14:paraId="1F0D1346" w14:textId="77777777" w:rsidR="004577D8" w:rsidRPr="00B45667" w:rsidRDefault="00722C17" w:rsidP="00966C57">
      <w:pPr>
        <w:pStyle w:val="20"/>
        <w:shd w:val="clear" w:color="auto" w:fill="auto"/>
        <w:jc w:val="both"/>
      </w:pPr>
      <w:r w:rsidRPr="00B45667">
        <w:rPr>
          <w:lang w:bidi="ru-RU"/>
        </w:rPr>
        <w:t>Mg является кофактором более чем в 350 важнейших метаболических реакциях. Особенно важен тот факт, что являясь компонентом Mg-аденозинтрифосфатного комплекса, Mg участвует во всех реакциях передачи фосфата [</w:t>
      </w:r>
      <w:hyperlink w:anchor="bookmark42" w:tooltip="Текущий документ">
        <w:r w:rsidRPr="00B45667">
          <w:rPr>
            <w:lang w:bidi="ru-RU"/>
          </w:rPr>
          <w:t>6</w:t>
        </w:r>
      </w:hyperlink>
      <w:r w:rsidRPr="00B45667">
        <w:rPr>
          <w:lang w:bidi="ru-RU"/>
        </w:rPr>
        <w:t xml:space="preserve">, </w:t>
      </w:r>
      <w:hyperlink w:anchor="bookmark42" w:tooltip="Текущий документ">
        <w:r w:rsidRPr="00B45667">
          <w:rPr>
            <w:lang w:bidi="ru-RU"/>
          </w:rPr>
          <w:t>7</w:t>
        </w:r>
      </w:hyperlink>
      <w:r w:rsidRPr="00B45667">
        <w:rPr>
          <w:lang w:bidi="ru-RU"/>
        </w:rPr>
        <w:t>, 49]. Экспериментальные исследования показали, что Mg может: 1) регулировать тонус гладких мышц сосудов, изменяя входящий ток ионов кальция и внутриклеточные сигнальные пути [50, 51]; 2) регулировать эндотелиальную функцию, изменяя синтез и высвобождение сосудорасширяющих молекул простациклина и оксида азота [52, 53]. Эти сосудистые эффекты Mg формируют связь между его дефицитом и патогенезом ИБС и АГ. В исследованиях также установлено, что Mg подавляет формирование экспериментального артериального тромбоза, ингибируя агрегацию тромбоцитов [54], а дефицит Mg приводит к развитию воспаления в различных участках сердца [55] и ускорению атеросклеротического процесса [56], что связано с развитием ИБС. В недавно проведенных метаанализах и обзорах исследователи установили, что рацион с низким содержанием Mg и гипомагниемия коррелируют с неспецифическим воспалением и окислительным стрессом [57-59], которые, как известно, участвуют в патогенезе хронических заболеваний, таких как ИБС и СД 2 типа.</w:t>
      </w:r>
    </w:p>
    <w:p w14:paraId="1F0D1348" w14:textId="6F6DA725" w:rsidR="004577D8" w:rsidRPr="00B45667" w:rsidRDefault="00722C17" w:rsidP="00744C2D">
      <w:pPr>
        <w:pStyle w:val="20"/>
        <w:shd w:val="clear" w:color="auto" w:fill="auto"/>
        <w:ind w:firstLine="360"/>
        <w:jc w:val="both"/>
      </w:pPr>
      <w:r w:rsidRPr="00B45667">
        <w:rPr>
          <w:lang w:bidi="ru-RU"/>
        </w:rPr>
        <w:t xml:space="preserve">Помимо участия Mg в метаболизме глюкозы, включая гликолиз и цикл Кребса, исследования показали, что Mg незаменим при передаче сигналов инсулина, поскольку он активирует </w:t>
      </w:r>
      <w:r w:rsidRPr="00B45667">
        <w:rPr>
          <w:rFonts w:eastAsia="Arial"/>
          <w:sz w:val="15"/>
          <w:szCs w:val="15"/>
          <w:lang w:bidi="ru-RU"/>
        </w:rPr>
        <w:t>β</w:t>
      </w:r>
      <w:r w:rsidRPr="00B45667">
        <w:rPr>
          <w:lang w:bidi="ru-RU"/>
        </w:rPr>
        <w:t>-субъединицу тирозинкиназного домена инсулинового рецептора, что является ключевым этапом в трансмембранном сигнальном каскаде, инициируемом воздействием инсулина [</w:t>
      </w:r>
      <w:hyperlink w:anchor="bookmark42" w:tooltip="Текущий документ">
        <w:r w:rsidRPr="00B45667">
          <w:rPr>
            <w:lang w:bidi="ru-RU"/>
          </w:rPr>
          <w:t>6</w:t>
        </w:r>
      </w:hyperlink>
      <w:r w:rsidRPr="00B45667">
        <w:rPr>
          <w:lang w:bidi="ru-RU"/>
        </w:rPr>
        <w:t xml:space="preserve">, </w:t>
      </w:r>
      <w:hyperlink w:anchor="bookmark42" w:tooltip="Текущий документ">
        <w:r w:rsidRPr="00B45667">
          <w:rPr>
            <w:lang w:bidi="ru-RU"/>
          </w:rPr>
          <w:t>7</w:t>
        </w:r>
      </w:hyperlink>
      <w:r w:rsidRPr="00B45667">
        <w:rPr>
          <w:lang w:bidi="ru-RU"/>
        </w:rPr>
        <w:t xml:space="preserve">, 60]. Исследования на животных </w:t>
      </w:r>
      <w:bookmarkStart w:id="40" w:name="bookmark42"/>
      <w:r w:rsidRPr="00B45667">
        <w:rPr>
          <w:lang w:bidi="ru-RU"/>
        </w:rPr>
        <w:t>показали, что дефицит Mg сопровождается снижением захвата глюкозы и ее утилизации в инсулиночувствительных тканях, что способствует инсулинорезистентности и развитию СД [25, 61]. Более того, в рандомизированных контролируемых исследованиях с участием лиц без СД наблюдалось улучшение чувствительности к инсулину наряду с повышением концентрации Mg в сыворотке крови на фоне приема Mg-содержащих добавок к пище [62-64].</w:t>
      </w:r>
      <w:bookmarkEnd w:id="40"/>
    </w:p>
    <w:p w14:paraId="1F0D134A" w14:textId="77777777" w:rsidR="004577D8" w:rsidRPr="00B45667" w:rsidRDefault="00722C17" w:rsidP="004E6760">
      <w:pPr>
        <w:pStyle w:val="10"/>
      </w:pPr>
      <w:bookmarkStart w:id="41" w:name="bookmark43"/>
      <w:bookmarkStart w:id="42" w:name="bookmark44"/>
      <w:r w:rsidRPr="00B45667">
        <w:t>Выводы</w:t>
      </w:r>
      <w:bookmarkEnd w:id="41"/>
      <w:bookmarkEnd w:id="42"/>
    </w:p>
    <w:p w14:paraId="1F0D134B" w14:textId="7CE74414" w:rsidR="004577D8" w:rsidRPr="00B45667" w:rsidRDefault="00722C17" w:rsidP="00744C2D">
      <w:pPr>
        <w:pStyle w:val="20"/>
        <w:shd w:val="clear" w:color="auto" w:fill="auto"/>
        <w:jc w:val="both"/>
      </w:pPr>
      <w:r w:rsidRPr="00B45667">
        <w:rPr>
          <w:lang w:bidi="ru-RU"/>
        </w:rPr>
        <w:t xml:space="preserve">Данный метаанализ проспективных когортных исследований показал наличие обратной зависимости между концентрацией Mg в крови и частотой ИБС, АГ и СД 2 типа. Результаты этого метаанализа дополняют предыдущие обзоры, посвященные изучению связи между потреблением Mg с пищей и риском развития ССЗ и СД.  Необходимы дальнейшие исследования, чтобы получить более надежные доказательства, выявить </w:t>
      </w:r>
      <w:r w:rsidR="00041626" w:rsidRPr="00B45667">
        <w:rPr>
          <w:lang w:bidi="ru-RU"/>
        </w:rPr>
        <w:t>дозозависимый</w:t>
      </w:r>
      <w:r w:rsidRPr="00B45667">
        <w:rPr>
          <w:lang w:bidi="ru-RU"/>
        </w:rPr>
        <w:t xml:space="preserve"> ответ и установить оптимальный диапазон концентраций Mg в крови, способствующий профилактике ИБС, АГ и СД 2 типа.</w:t>
      </w:r>
    </w:p>
    <w:p w14:paraId="1F0D134C" w14:textId="77777777" w:rsidR="00966C57" w:rsidRPr="00B45667" w:rsidRDefault="00966C57">
      <w:pPr>
        <w:pStyle w:val="20"/>
        <w:shd w:val="clear" w:color="auto" w:fill="auto"/>
      </w:pPr>
    </w:p>
    <w:p w14:paraId="1F0D134D" w14:textId="77777777" w:rsidR="004577D8" w:rsidRPr="00B45667" w:rsidRDefault="00722C17" w:rsidP="00FE2ED4">
      <w:pPr>
        <w:pStyle w:val="10"/>
        <w:spacing w:after="120"/>
      </w:pPr>
      <w:bookmarkStart w:id="43" w:name="bookmark46"/>
      <w:bookmarkStart w:id="44" w:name="bookmark47"/>
      <w:bookmarkStart w:id="45" w:name="bookmark45"/>
      <w:r w:rsidRPr="00B45667">
        <w:lastRenderedPageBreak/>
        <w:t>Приложение</w:t>
      </w:r>
      <w:bookmarkEnd w:id="43"/>
      <w:bookmarkEnd w:id="44"/>
      <w:bookmarkEnd w:id="45"/>
    </w:p>
    <w:tbl>
      <w:tblPr>
        <w:tblOverlap w:val="neve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7" w:type="dxa"/>
          <w:bottom w:w="28" w:type="dxa"/>
          <w:right w:w="17" w:type="dxa"/>
        </w:tblCellMar>
        <w:tblLook w:val="0000" w:firstRow="0" w:lastRow="0" w:firstColumn="0" w:lastColumn="0" w:noHBand="0" w:noVBand="0"/>
      </w:tblPr>
      <w:tblGrid>
        <w:gridCol w:w="10050"/>
      </w:tblGrid>
      <w:tr w:rsidR="00966C57" w:rsidRPr="001410A2" w14:paraId="1F0D1350" w14:textId="77777777" w:rsidTr="001410A2">
        <w:trPr>
          <w:trHeight w:val="1236"/>
        </w:trPr>
        <w:tc>
          <w:tcPr>
            <w:tcW w:w="10050" w:type="dxa"/>
            <w:shd w:val="clear" w:color="auto" w:fill="FFFFFF"/>
            <w:vAlign w:val="center"/>
          </w:tcPr>
          <w:p w14:paraId="1F0D134E" w14:textId="77777777" w:rsidR="00966C57" w:rsidRPr="001410A2" w:rsidRDefault="00966C57" w:rsidP="001410A2">
            <w:pPr>
              <w:widowControl/>
              <w:autoSpaceDE w:val="0"/>
              <w:autoSpaceDN w:val="0"/>
              <w:adjustRightInd w:val="0"/>
              <w:ind w:left="57" w:right="57"/>
              <w:jc w:val="both"/>
              <w:rPr>
                <w:rFonts w:cs="Times New Roman"/>
                <w:color w:val="131413"/>
                <w:sz w:val="16"/>
                <w:szCs w:val="16"/>
                <w:lang w:bidi="ar-SA"/>
              </w:rPr>
            </w:pPr>
            <w:r w:rsidRPr="001410A2">
              <w:rPr>
                <w:rFonts w:eastAsia="Segoe UI" w:cs="Times New Roman"/>
                <w:b/>
                <w:color w:val="131413"/>
                <w:sz w:val="16"/>
                <w:szCs w:val="16"/>
                <w:lang w:bidi="ru-RU"/>
              </w:rPr>
              <w:t xml:space="preserve">Приложение 1: Таблица S1. </w:t>
            </w:r>
            <w:r w:rsidRPr="001410A2">
              <w:rPr>
                <w:rFonts w:eastAsia="Segoe UI" w:cs="Times New Roman"/>
                <w:color w:val="131413"/>
                <w:sz w:val="16"/>
                <w:szCs w:val="16"/>
                <w:lang w:bidi="ru-RU"/>
              </w:rPr>
              <w:t xml:space="preserve">Контрольный лист PRISMA. </w:t>
            </w:r>
            <w:r w:rsidRPr="001410A2">
              <w:rPr>
                <w:rFonts w:eastAsia="Segoe UI" w:cs="Times New Roman"/>
                <w:b/>
                <w:color w:val="131413"/>
                <w:sz w:val="16"/>
                <w:szCs w:val="16"/>
                <w:lang w:bidi="ru-RU"/>
              </w:rPr>
              <w:t>Таблица S2.</w:t>
            </w:r>
            <w:r w:rsidRPr="001410A2">
              <w:rPr>
                <w:rFonts w:eastAsia="Segoe UI" w:cs="Times New Roman"/>
                <w:color w:val="131413"/>
                <w:sz w:val="16"/>
                <w:szCs w:val="16"/>
                <w:lang w:bidi="ru-RU"/>
              </w:rPr>
              <w:t xml:space="preserve"> Оценка качества исследований, включенных в метаанализ, по шкале оценки качества исследований Ньюкасл ― Оттава. </w:t>
            </w:r>
            <w:r w:rsidRPr="001410A2">
              <w:rPr>
                <w:rFonts w:eastAsia="Segoe UI" w:cs="Times New Roman"/>
                <w:b/>
                <w:color w:val="131413"/>
                <w:sz w:val="16"/>
                <w:szCs w:val="16"/>
                <w:lang w:bidi="ru-RU"/>
              </w:rPr>
              <w:t>Таблица S3.</w:t>
            </w:r>
            <w:r w:rsidRPr="001410A2">
              <w:rPr>
                <w:rFonts w:eastAsia="Segoe UI" w:cs="Times New Roman"/>
                <w:color w:val="131413"/>
                <w:sz w:val="16"/>
                <w:szCs w:val="16"/>
                <w:lang w:bidi="ru-RU"/>
              </w:rPr>
              <w:t xml:space="preserve"> Скорректированная с учетом нескольких переменных зависимость между концентрацией магния в крови и частотой развития ИБС, АГ и СД 2 типа по результатам анализа модели с фиксированными эффектами: анализ чувствительности. </w:t>
            </w:r>
            <w:r w:rsidRPr="001410A2">
              <w:rPr>
                <w:rFonts w:eastAsia="Segoe UI" w:cs="Times New Roman"/>
                <w:b/>
                <w:color w:val="131413"/>
                <w:sz w:val="16"/>
                <w:szCs w:val="16"/>
                <w:lang w:bidi="ru-RU"/>
              </w:rPr>
              <w:t>Table S4.</w:t>
            </w:r>
            <w:r w:rsidRPr="001410A2">
              <w:rPr>
                <w:rFonts w:eastAsia="Segoe UI" w:cs="Times New Roman"/>
                <w:color w:val="131413"/>
                <w:sz w:val="16"/>
                <w:szCs w:val="16"/>
                <w:lang w:bidi="ru-RU"/>
              </w:rPr>
              <w:t xml:space="preserve"> Влияние отдельных исследований на совокупную зависимость между концентрацией магния в крови и частотой развития ИБС, АГ и СД 2 типа по результатам анализа модели со случайными эффектами: анализ чувствительности. </w:t>
            </w:r>
            <w:r w:rsidRPr="001410A2">
              <w:rPr>
                <w:rFonts w:eastAsia="Segoe UI" w:cs="Times New Roman"/>
                <w:b/>
                <w:color w:val="131413"/>
                <w:sz w:val="16"/>
                <w:szCs w:val="16"/>
                <w:lang w:bidi="ru-RU"/>
              </w:rPr>
              <w:t>Рисунок S1.</w:t>
            </w:r>
            <w:r w:rsidRPr="001410A2">
              <w:rPr>
                <w:rFonts w:eastAsia="Segoe UI" w:cs="Times New Roman"/>
                <w:color w:val="131413"/>
                <w:sz w:val="16"/>
                <w:szCs w:val="16"/>
                <w:lang w:bidi="ru-RU"/>
              </w:rPr>
              <w:t xml:space="preserve"> Воронкообразные диаграммы с псевдо-95 % ДИ для шести совокупностей в данном метаанализе.</w:t>
            </w:r>
          </w:p>
          <w:p w14:paraId="1F0D134F" w14:textId="77777777" w:rsidR="00966C57" w:rsidRPr="001410A2" w:rsidRDefault="00966C57" w:rsidP="001410A2">
            <w:pPr>
              <w:pStyle w:val="a4"/>
              <w:spacing w:line="240" w:lineRule="auto"/>
              <w:ind w:left="57" w:right="57"/>
              <w:jc w:val="both"/>
              <w:rPr>
                <w:rFonts w:cs="Times New Roman"/>
                <w:sz w:val="16"/>
                <w:szCs w:val="16"/>
              </w:rPr>
            </w:pPr>
            <w:r w:rsidRPr="001410A2">
              <w:rPr>
                <w:rFonts w:eastAsia="Segoe UI" w:cs="Times New Roman"/>
                <w:color w:val="131413"/>
                <w:sz w:val="16"/>
                <w:szCs w:val="16"/>
                <w:lang w:bidi="ru-RU"/>
              </w:rPr>
              <w:t>(DOC 202 кб)</w:t>
            </w:r>
          </w:p>
        </w:tc>
      </w:tr>
    </w:tbl>
    <w:p w14:paraId="1F0D1352" w14:textId="77777777" w:rsidR="004577D8" w:rsidRPr="00B45667" w:rsidRDefault="00722C17" w:rsidP="00367D06">
      <w:pPr>
        <w:pStyle w:val="22"/>
      </w:pPr>
      <w:bookmarkStart w:id="46" w:name="bookmark48"/>
      <w:bookmarkStart w:id="47" w:name="bookmark49"/>
      <w:r w:rsidRPr="00B45667">
        <w:t>Сокращения</w:t>
      </w:r>
      <w:bookmarkEnd w:id="46"/>
      <w:bookmarkEnd w:id="47"/>
    </w:p>
    <w:p w14:paraId="1F0D1353" w14:textId="77777777" w:rsidR="004577D8" w:rsidRPr="001410A2" w:rsidRDefault="00722C17" w:rsidP="001410A2">
      <w:pPr>
        <w:pStyle w:val="30"/>
        <w:shd w:val="clear" w:color="auto" w:fill="auto"/>
        <w:ind w:left="0"/>
        <w:jc w:val="both"/>
        <w:rPr>
          <w:rFonts w:ascii="Times New Roman" w:hAnsi="Times New Roman" w:cs="Times New Roman"/>
          <w:sz w:val="20"/>
          <w:szCs w:val="20"/>
        </w:rPr>
      </w:pPr>
      <w:r w:rsidRPr="001410A2">
        <w:rPr>
          <w:rFonts w:ascii="Times New Roman" w:eastAsia="Segoe UI" w:hAnsi="Times New Roman" w:cs="Times New Roman"/>
          <w:color w:val="000000"/>
          <w:sz w:val="20"/>
          <w:szCs w:val="20"/>
          <w:lang w:bidi="ru-RU"/>
        </w:rPr>
        <w:t xml:space="preserve">ИБС ― ишемическая болезнь сердца; ДИ ― доверительный интервал; ССЗ ― сердечно-сосудистые заболевания; ДАД ― диастолическое артериальное давление; ОР ― отношение рисков/относительный риск; Mg ― магний; ШНО ― шкала оценки качества исследований Ньюкасл ― Оттава; ОШ ― отношение шансов; PRISMA ― Руководство по предпочтительным компонентам для подготовки систематических обзоров и метаанализов; САД ― систолическое артериальное давление; СД ― сахарный диабет </w:t>
      </w:r>
    </w:p>
    <w:p w14:paraId="1F0D1355" w14:textId="77777777" w:rsidR="004577D8" w:rsidRPr="00B45667" w:rsidRDefault="00722C17" w:rsidP="00367D06">
      <w:pPr>
        <w:pStyle w:val="22"/>
      </w:pPr>
      <w:r w:rsidRPr="00B45667">
        <w:t>Благодарности</w:t>
      </w:r>
    </w:p>
    <w:p w14:paraId="1F0D1356" w14:textId="77777777" w:rsidR="004577D8" w:rsidRPr="001410A2" w:rsidRDefault="00722C17">
      <w:pPr>
        <w:pStyle w:val="30"/>
        <w:shd w:val="clear" w:color="auto" w:fill="auto"/>
        <w:spacing w:line="254" w:lineRule="auto"/>
        <w:ind w:left="0"/>
        <w:rPr>
          <w:rFonts w:ascii="Times New Roman" w:hAnsi="Times New Roman" w:cs="Times New Roman"/>
          <w:sz w:val="20"/>
          <w:szCs w:val="20"/>
        </w:rPr>
      </w:pPr>
      <w:r w:rsidRPr="001410A2">
        <w:rPr>
          <w:rFonts w:ascii="Times New Roman" w:eastAsia="Segoe UI" w:hAnsi="Times New Roman" w:cs="Times New Roman"/>
          <w:sz w:val="20"/>
          <w:szCs w:val="20"/>
          <w:lang w:bidi="ru-RU"/>
        </w:rPr>
        <w:t>Не применимо</w:t>
      </w:r>
    </w:p>
    <w:p w14:paraId="1F0D1358" w14:textId="77777777" w:rsidR="004577D8" w:rsidRPr="00B45667" w:rsidRDefault="00722C17" w:rsidP="00367D06">
      <w:pPr>
        <w:pStyle w:val="22"/>
      </w:pPr>
      <w:bookmarkStart w:id="48" w:name="bookmark50"/>
      <w:bookmarkStart w:id="49" w:name="bookmark51"/>
      <w:r w:rsidRPr="00B45667">
        <w:t>Финансирование</w:t>
      </w:r>
      <w:bookmarkEnd w:id="48"/>
      <w:bookmarkEnd w:id="49"/>
    </w:p>
    <w:p w14:paraId="1F0D1359" w14:textId="77777777" w:rsidR="004577D8" w:rsidRPr="001410A2" w:rsidRDefault="00722C17" w:rsidP="001410A2">
      <w:pPr>
        <w:pStyle w:val="30"/>
        <w:shd w:val="clear" w:color="auto" w:fill="auto"/>
        <w:ind w:left="0"/>
        <w:jc w:val="both"/>
        <w:rPr>
          <w:rFonts w:ascii="Times New Roman" w:hAnsi="Times New Roman" w:cs="Times New Roman"/>
          <w:sz w:val="20"/>
          <w:szCs w:val="20"/>
        </w:rPr>
      </w:pPr>
      <w:r w:rsidRPr="001410A2">
        <w:rPr>
          <w:rFonts w:ascii="Times New Roman" w:eastAsia="Segoe UI" w:hAnsi="Times New Roman" w:cs="Times New Roman"/>
          <w:sz w:val="20"/>
          <w:szCs w:val="20"/>
          <w:lang w:bidi="ru-RU"/>
        </w:rPr>
        <w:t>Исследование проведено при поддержке гранта ведущей Шанхайской лаборатории детской гастроэнтерологии и питания (14DZ2272400, для ВК), Китай, и гранта Национального института здравоохранения, США (R01ES021735, для КХ).</w:t>
      </w:r>
    </w:p>
    <w:p w14:paraId="1F0D135B" w14:textId="77777777" w:rsidR="004577D8" w:rsidRPr="00B45667" w:rsidRDefault="00722C17" w:rsidP="00367D06">
      <w:pPr>
        <w:pStyle w:val="22"/>
      </w:pPr>
      <w:bookmarkStart w:id="50" w:name="bookmark52"/>
      <w:bookmarkStart w:id="51" w:name="bookmark53"/>
      <w:r w:rsidRPr="00B45667">
        <w:t>Доступность данных и материалов</w:t>
      </w:r>
      <w:bookmarkEnd w:id="50"/>
      <w:bookmarkEnd w:id="51"/>
    </w:p>
    <w:p w14:paraId="1F0D135C" w14:textId="77777777" w:rsidR="004577D8" w:rsidRPr="001410A2" w:rsidRDefault="00722C17" w:rsidP="001410A2">
      <w:pPr>
        <w:pStyle w:val="30"/>
        <w:shd w:val="clear" w:color="auto" w:fill="auto"/>
        <w:spacing w:line="240" w:lineRule="auto"/>
        <w:ind w:left="0"/>
        <w:jc w:val="both"/>
        <w:rPr>
          <w:rFonts w:ascii="Times New Roman" w:hAnsi="Times New Roman" w:cs="Times New Roman"/>
          <w:sz w:val="20"/>
          <w:szCs w:val="20"/>
        </w:rPr>
      </w:pPr>
      <w:r w:rsidRPr="001410A2">
        <w:rPr>
          <w:rFonts w:ascii="Times New Roman" w:eastAsia="Segoe UI" w:hAnsi="Times New Roman" w:cs="Times New Roman"/>
          <w:sz w:val="20"/>
          <w:szCs w:val="20"/>
          <w:lang w:bidi="ru-RU"/>
        </w:rPr>
        <w:t xml:space="preserve">Все данные, полученные или проанализированные в ходе данного исследования, включены в эти опубликованные статьи </w:t>
      </w:r>
      <w:hyperlink w:anchor="bookmark42" w:tooltip="Текущий документ">
        <w:r w:rsidRPr="001410A2">
          <w:rPr>
            <w:rFonts w:ascii="Times New Roman" w:eastAsia="Segoe UI" w:hAnsi="Times New Roman" w:cs="Times New Roman"/>
            <w:sz w:val="20"/>
            <w:szCs w:val="20"/>
            <w:lang w:bidi="ru-RU"/>
          </w:rPr>
          <w:t>11</w:t>
        </w:r>
      </w:hyperlink>
      <w:r w:rsidRPr="001410A2">
        <w:rPr>
          <w:rFonts w:ascii="Times New Roman" w:eastAsia="Segoe UI" w:hAnsi="Times New Roman" w:cs="Times New Roman"/>
          <w:sz w:val="20"/>
          <w:szCs w:val="20"/>
          <w:lang w:bidi="ru-RU"/>
        </w:rPr>
        <w:t>, 23-32]. Дополнительных данных нет.</w:t>
      </w:r>
    </w:p>
    <w:p w14:paraId="1F0D135E" w14:textId="77777777" w:rsidR="004577D8" w:rsidRPr="00367D06" w:rsidRDefault="00722C17" w:rsidP="00367D06">
      <w:pPr>
        <w:pStyle w:val="22"/>
      </w:pPr>
      <w:bookmarkStart w:id="52" w:name="bookmark54"/>
      <w:bookmarkStart w:id="53" w:name="bookmark55"/>
      <w:r w:rsidRPr="00367D06">
        <w:t>Вклад авторов</w:t>
      </w:r>
      <w:bookmarkEnd w:id="52"/>
      <w:bookmarkEnd w:id="53"/>
    </w:p>
    <w:p w14:paraId="1F0D135F" w14:textId="77777777" w:rsidR="004577D8" w:rsidRPr="001410A2" w:rsidRDefault="00722C17" w:rsidP="001410A2">
      <w:pPr>
        <w:pStyle w:val="30"/>
        <w:shd w:val="clear" w:color="auto" w:fill="auto"/>
        <w:spacing w:line="254" w:lineRule="auto"/>
        <w:ind w:left="0"/>
        <w:jc w:val="both"/>
        <w:rPr>
          <w:rFonts w:ascii="Times New Roman" w:hAnsi="Times New Roman" w:cs="Times New Roman"/>
          <w:sz w:val="20"/>
          <w:szCs w:val="20"/>
        </w:rPr>
      </w:pPr>
      <w:r w:rsidRPr="001410A2">
        <w:rPr>
          <w:rFonts w:ascii="Times New Roman" w:eastAsia="Segoe UI" w:hAnsi="Times New Roman" w:cs="Times New Roman"/>
          <w:sz w:val="20"/>
          <w:szCs w:val="20"/>
          <w:lang w:bidi="ru-RU"/>
        </w:rPr>
        <w:t>ВК: административная поддержка; КХ и ВК: концепция и дизайн исследования; ЦВ, ПС и ЦТ: поиск литературы, отбор исследований, извлечение данных; ПС: статистические анализы; ЦВ и ПС: подготовка таблиц и рисунков; ЦВ, ПС и КХ: черновой вариант статьи; ВК и КХ: общее руководство работой. Все авторы полностью согласились со всеми данными, полученными в исследовании, выполнили критическую ревизию статьи на предмет важного интеллектуального содержимого и утвердили окончательный вариант статьи. ВК и КХ несут основную ответственность за итоговый вариант статьи.</w:t>
      </w:r>
    </w:p>
    <w:p w14:paraId="1F0D1360" w14:textId="77777777" w:rsidR="00966C57" w:rsidRPr="00B45667" w:rsidRDefault="00966C57">
      <w:pPr>
        <w:pStyle w:val="30"/>
        <w:shd w:val="clear" w:color="auto" w:fill="auto"/>
        <w:spacing w:line="254" w:lineRule="auto"/>
        <w:ind w:left="0"/>
        <w:rPr>
          <w:rFonts w:ascii="Times New Roman" w:hAnsi="Times New Roman" w:cs="Times New Roman"/>
          <w:sz w:val="6"/>
          <w:szCs w:val="6"/>
        </w:rPr>
      </w:pPr>
    </w:p>
    <w:p w14:paraId="1F0D1361" w14:textId="77777777" w:rsidR="004577D8" w:rsidRPr="00B45667" w:rsidRDefault="00722C17" w:rsidP="00367D06">
      <w:pPr>
        <w:pStyle w:val="22"/>
      </w:pPr>
      <w:bookmarkStart w:id="54" w:name="bookmark56"/>
      <w:bookmarkStart w:id="55" w:name="bookmark57"/>
      <w:r w:rsidRPr="00B45667">
        <w:t>Этическое одобрение и согласие на участие в исследовании</w:t>
      </w:r>
      <w:bookmarkEnd w:id="54"/>
      <w:bookmarkEnd w:id="55"/>
    </w:p>
    <w:p w14:paraId="1F0D1362" w14:textId="77777777" w:rsidR="004577D8" w:rsidRPr="001410A2" w:rsidRDefault="00722C17">
      <w:pPr>
        <w:pStyle w:val="30"/>
        <w:shd w:val="clear" w:color="auto" w:fill="auto"/>
        <w:spacing w:line="254" w:lineRule="auto"/>
        <w:ind w:left="0"/>
        <w:rPr>
          <w:rFonts w:ascii="Times New Roman" w:hAnsi="Times New Roman" w:cs="Times New Roman"/>
          <w:sz w:val="20"/>
          <w:szCs w:val="20"/>
        </w:rPr>
      </w:pPr>
      <w:r w:rsidRPr="001410A2">
        <w:rPr>
          <w:rFonts w:ascii="Times New Roman" w:eastAsia="Segoe UI" w:hAnsi="Times New Roman" w:cs="Times New Roman"/>
          <w:sz w:val="20"/>
          <w:szCs w:val="20"/>
          <w:lang w:bidi="ru-RU"/>
        </w:rPr>
        <w:t>Не применимо.</w:t>
      </w:r>
    </w:p>
    <w:p w14:paraId="1F0D1364" w14:textId="77777777" w:rsidR="004577D8" w:rsidRPr="00B45667" w:rsidRDefault="00722C17" w:rsidP="00367D06">
      <w:pPr>
        <w:pStyle w:val="22"/>
      </w:pPr>
      <w:bookmarkStart w:id="56" w:name="bookmark58"/>
      <w:bookmarkStart w:id="57" w:name="bookmark59"/>
      <w:r w:rsidRPr="00B45667">
        <w:t>Согласие на публикацию</w:t>
      </w:r>
      <w:bookmarkEnd w:id="56"/>
      <w:bookmarkEnd w:id="57"/>
    </w:p>
    <w:p w14:paraId="1F0D1365" w14:textId="77777777" w:rsidR="004577D8" w:rsidRPr="001410A2" w:rsidRDefault="00722C17">
      <w:pPr>
        <w:pStyle w:val="30"/>
        <w:shd w:val="clear" w:color="auto" w:fill="auto"/>
        <w:ind w:left="0"/>
        <w:rPr>
          <w:rFonts w:ascii="Times New Roman" w:hAnsi="Times New Roman" w:cs="Times New Roman"/>
          <w:sz w:val="20"/>
          <w:szCs w:val="20"/>
        </w:rPr>
      </w:pPr>
      <w:r w:rsidRPr="001410A2">
        <w:rPr>
          <w:rFonts w:ascii="Times New Roman" w:eastAsia="Segoe UI" w:hAnsi="Times New Roman" w:cs="Times New Roman"/>
          <w:sz w:val="20"/>
          <w:szCs w:val="20"/>
          <w:lang w:bidi="ru-RU"/>
        </w:rPr>
        <w:t>Не применимо.</w:t>
      </w:r>
    </w:p>
    <w:p w14:paraId="1F0D1367" w14:textId="77777777" w:rsidR="004577D8" w:rsidRPr="00B45667" w:rsidRDefault="00722C17" w:rsidP="00367D06">
      <w:pPr>
        <w:pStyle w:val="22"/>
      </w:pPr>
      <w:bookmarkStart w:id="58" w:name="bookmark60"/>
      <w:bookmarkStart w:id="59" w:name="bookmark61"/>
      <w:r w:rsidRPr="00B45667">
        <w:t>Конфликт интересов</w:t>
      </w:r>
      <w:bookmarkEnd w:id="58"/>
      <w:bookmarkEnd w:id="59"/>
    </w:p>
    <w:p w14:paraId="1F0D1368" w14:textId="77777777" w:rsidR="004577D8" w:rsidRPr="001410A2" w:rsidRDefault="00722C17">
      <w:pPr>
        <w:pStyle w:val="30"/>
        <w:shd w:val="clear" w:color="auto" w:fill="auto"/>
        <w:ind w:left="0"/>
        <w:rPr>
          <w:rFonts w:ascii="Times New Roman" w:hAnsi="Times New Roman" w:cs="Times New Roman"/>
          <w:sz w:val="20"/>
          <w:szCs w:val="20"/>
        </w:rPr>
      </w:pPr>
      <w:r w:rsidRPr="001410A2">
        <w:rPr>
          <w:rFonts w:ascii="Times New Roman" w:eastAsia="Segoe UI" w:hAnsi="Times New Roman" w:cs="Times New Roman"/>
          <w:sz w:val="20"/>
          <w:szCs w:val="20"/>
          <w:lang w:bidi="ru-RU"/>
        </w:rPr>
        <w:t>Авторы заявили об отсутствии конфликта интересов.</w:t>
      </w:r>
    </w:p>
    <w:p w14:paraId="1F0D136A" w14:textId="77777777" w:rsidR="004577D8" w:rsidRPr="00B45667" w:rsidRDefault="00722C17" w:rsidP="004E6760">
      <w:pPr>
        <w:pStyle w:val="10"/>
      </w:pPr>
      <w:bookmarkStart w:id="60" w:name="bookmark62"/>
      <w:bookmarkStart w:id="61" w:name="bookmark63"/>
      <w:r w:rsidRPr="00B45667">
        <w:t>Примечание</w:t>
      </w:r>
      <w:r w:rsidRPr="00B45667">
        <w:rPr>
          <w:rFonts w:eastAsia="Arial"/>
          <w:sz w:val="19"/>
          <w:szCs w:val="19"/>
        </w:rPr>
        <w:t xml:space="preserve"> </w:t>
      </w:r>
      <w:r w:rsidRPr="00B45667">
        <w:t>издателя</w:t>
      </w:r>
      <w:bookmarkEnd w:id="60"/>
      <w:bookmarkEnd w:id="61"/>
    </w:p>
    <w:p w14:paraId="1F0D136B" w14:textId="77777777" w:rsidR="004577D8" w:rsidRPr="00C42ECE" w:rsidRDefault="00722C17" w:rsidP="00C42ECE">
      <w:pPr>
        <w:pStyle w:val="30"/>
        <w:shd w:val="clear" w:color="auto" w:fill="auto"/>
        <w:spacing w:line="252" w:lineRule="auto"/>
        <w:ind w:left="0"/>
        <w:jc w:val="both"/>
        <w:rPr>
          <w:rFonts w:ascii="Times New Roman" w:hAnsi="Times New Roman" w:cs="Times New Roman"/>
          <w:sz w:val="20"/>
          <w:szCs w:val="20"/>
        </w:rPr>
      </w:pPr>
      <w:r w:rsidRPr="00C42ECE">
        <w:rPr>
          <w:rFonts w:ascii="Times New Roman" w:eastAsia="Segoe UI" w:hAnsi="Times New Roman" w:cs="Times New Roman"/>
          <w:sz w:val="20"/>
          <w:szCs w:val="20"/>
          <w:lang w:bidi="ru-RU"/>
        </w:rPr>
        <w:t>Издательство Springer Nature не принимает юрисдикционных претензий в отношении опубликованных схем и принадлежности к учреждениям.</w:t>
      </w:r>
    </w:p>
    <w:p w14:paraId="1F0D136D" w14:textId="77777777" w:rsidR="004577D8" w:rsidRPr="00B45667" w:rsidRDefault="00722C17" w:rsidP="00367D06">
      <w:pPr>
        <w:pStyle w:val="22"/>
      </w:pPr>
      <w:bookmarkStart w:id="62" w:name="bookmark64"/>
      <w:bookmarkStart w:id="63" w:name="bookmark65"/>
      <w:r w:rsidRPr="00B45667">
        <w:t>Информация об авторах</w:t>
      </w:r>
      <w:bookmarkEnd w:id="62"/>
      <w:bookmarkEnd w:id="63"/>
    </w:p>
    <w:p w14:paraId="1F0D136E" w14:textId="77777777" w:rsidR="00966C57" w:rsidRPr="00C42ECE" w:rsidRDefault="00722C17" w:rsidP="00C42ECE">
      <w:pPr>
        <w:pStyle w:val="30"/>
        <w:shd w:val="clear" w:color="auto" w:fill="auto"/>
        <w:ind w:left="0"/>
        <w:jc w:val="both"/>
        <w:rPr>
          <w:rFonts w:ascii="Times New Roman" w:hAnsi="Times New Roman" w:cs="Times New Roman"/>
          <w:color w:val="000000"/>
          <w:sz w:val="20"/>
          <w:szCs w:val="20"/>
        </w:rPr>
      </w:pPr>
      <w:r w:rsidRPr="00C42ECE">
        <w:rPr>
          <w:rFonts w:ascii="Times New Roman" w:eastAsia="Segoe UI" w:hAnsi="Times New Roman" w:cs="Times New Roman"/>
          <w:color w:val="000000"/>
          <w:sz w:val="20"/>
          <w:szCs w:val="20"/>
          <w:vertAlign w:val="superscript"/>
          <w:lang w:bidi="ru-RU"/>
        </w:rPr>
        <w:t>1</w:t>
      </w:r>
      <w:r w:rsidRPr="00C42ECE">
        <w:rPr>
          <w:rFonts w:ascii="Times New Roman" w:eastAsia="Segoe UI" w:hAnsi="Times New Roman" w:cs="Times New Roman"/>
          <w:color w:val="000000"/>
          <w:sz w:val="20"/>
          <w:szCs w:val="20"/>
          <w:lang w:bidi="ru-RU"/>
        </w:rPr>
        <w:t xml:space="preserve">Кафедра лечебного питания, клиника Синь Хуа, медицинский факультет Шанхайского университета Цзяо Тонг, № 1665, Конгцзян Роуд, Шанхай, Китай. </w:t>
      </w:r>
    </w:p>
    <w:p w14:paraId="1F0D136F" w14:textId="77777777" w:rsidR="00966C57" w:rsidRPr="00C42ECE" w:rsidRDefault="00722C17" w:rsidP="00C42ECE">
      <w:pPr>
        <w:pStyle w:val="30"/>
        <w:shd w:val="clear" w:color="auto" w:fill="auto"/>
        <w:ind w:left="0"/>
        <w:jc w:val="both"/>
        <w:rPr>
          <w:rFonts w:ascii="Times New Roman" w:hAnsi="Times New Roman" w:cs="Times New Roman"/>
          <w:color w:val="000000"/>
          <w:sz w:val="20"/>
          <w:szCs w:val="20"/>
        </w:rPr>
      </w:pPr>
      <w:r w:rsidRPr="00C42ECE">
        <w:rPr>
          <w:rFonts w:ascii="Times New Roman" w:eastAsia="Segoe UI" w:hAnsi="Times New Roman" w:cs="Times New Roman"/>
          <w:color w:val="000000"/>
          <w:sz w:val="20"/>
          <w:szCs w:val="20"/>
          <w:vertAlign w:val="superscript"/>
          <w:lang w:bidi="ru-RU"/>
        </w:rPr>
        <w:t>2</w:t>
      </w:r>
      <w:r w:rsidRPr="00C42ECE">
        <w:rPr>
          <w:rFonts w:ascii="Times New Roman" w:eastAsia="Segoe UI" w:hAnsi="Times New Roman" w:cs="Times New Roman"/>
          <w:color w:val="000000"/>
          <w:sz w:val="20"/>
          <w:szCs w:val="20"/>
          <w:lang w:bidi="ru-RU"/>
        </w:rPr>
        <w:t xml:space="preserve">Ведущая Шанхайская лаборатория детской гастроэнтерологии и питания, Шанхай, Китай. </w:t>
      </w:r>
    </w:p>
    <w:p w14:paraId="1F0D1370" w14:textId="77777777" w:rsidR="00966C57" w:rsidRPr="00C42ECE" w:rsidRDefault="00722C17" w:rsidP="00C42ECE">
      <w:pPr>
        <w:pStyle w:val="30"/>
        <w:shd w:val="clear" w:color="auto" w:fill="auto"/>
        <w:ind w:left="0"/>
        <w:jc w:val="both"/>
        <w:rPr>
          <w:rFonts w:ascii="Times New Roman" w:hAnsi="Times New Roman" w:cs="Times New Roman"/>
          <w:color w:val="000000"/>
          <w:sz w:val="20"/>
          <w:szCs w:val="20"/>
        </w:rPr>
      </w:pPr>
      <w:r w:rsidRPr="00C42ECE">
        <w:rPr>
          <w:rFonts w:ascii="Times New Roman" w:eastAsia="Segoe UI" w:hAnsi="Times New Roman" w:cs="Times New Roman"/>
          <w:color w:val="000000"/>
          <w:sz w:val="20"/>
          <w:szCs w:val="20"/>
          <w:vertAlign w:val="superscript"/>
          <w:lang w:bidi="ru-RU"/>
        </w:rPr>
        <w:t>3</w:t>
      </w:r>
      <w:r w:rsidRPr="00C42ECE">
        <w:rPr>
          <w:rFonts w:ascii="Times New Roman" w:eastAsia="Segoe UI" w:hAnsi="Times New Roman" w:cs="Times New Roman"/>
          <w:color w:val="000000"/>
          <w:sz w:val="20"/>
          <w:szCs w:val="20"/>
          <w:lang w:bidi="ru-RU"/>
        </w:rPr>
        <w:t xml:space="preserve">Шанхайский научно-исследовательский институт педиатрии, Шанхай, Китай. </w:t>
      </w:r>
    </w:p>
    <w:p w14:paraId="1F0D1371" w14:textId="77777777" w:rsidR="00966C57" w:rsidRPr="00C42ECE" w:rsidRDefault="00722C17" w:rsidP="00C42ECE">
      <w:pPr>
        <w:pStyle w:val="30"/>
        <w:shd w:val="clear" w:color="auto" w:fill="auto"/>
        <w:ind w:left="0"/>
        <w:jc w:val="both"/>
        <w:rPr>
          <w:rFonts w:ascii="Times New Roman" w:hAnsi="Times New Roman" w:cs="Times New Roman"/>
          <w:color w:val="000000"/>
          <w:sz w:val="20"/>
          <w:szCs w:val="20"/>
        </w:rPr>
      </w:pPr>
      <w:r w:rsidRPr="00C42ECE">
        <w:rPr>
          <w:rFonts w:ascii="Times New Roman" w:eastAsia="Segoe UI" w:hAnsi="Times New Roman" w:cs="Times New Roman"/>
          <w:color w:val="000000"/>
          <w:sz w:val="20"/>
          <w:szCs w:val="20"/>
          <w:vertAlign w:val="superscript"/>
          <w:lang w:bidi="ru-RU"/>
        </w:rPr>
        <w:t>4</w:t>
      </w:r>
      <w:r w:rsidRPr="00C42ECE">
        <w:rPr>
          <w:rFonts w:ascii="Times New Roman" w:eastAsia="Segoe UI" w:hAnsi="Times New Roman" w:cs="Times New Roman"/>
          <w:color w:val="000000"/>
          <w:sz w:val="20"/>
          <w:szCs w:val="20"/>
          <w:lang w:bidi="ru-RU"/>
        </w:rPr>
        <w:t xml:space="preserve">Кафедра эпидемиологии и биостатистики, факультет общественного здравоохранения Университета Индианы в Блумингтоне, 1025 Е. Седьмая улица, C042, Блумингтон, Индиана 47405, США. </w:t>
      </w:r>
    </w:p>
    <w:p w14:paraId="1F0D1372" w14:textId="77777777" w:rsidR="004577D8" w:rsidRPr="00C42ECE" w:rsidRDefault="00722C17" w:rsidP="00C42ECE">
      <w:pPr>
        <w:pStyle w:val="30"/>
        <w:shd w:val="clear" w:color="auto" w:fill="auto"/>
        <w:ind w:left="0"/>
        <w:jc w:val="both"/>
        <w:rPr>
          <w:rFonts w:ascii="Times New Roman" w:hAnsi="Times New Roman" w:cs="Times New Roman"/>
          <w:sz w:val="20"/>
          <w:szCs w:val="20"/>
        </w:rPr>
      </w:pPr>
      <w:r w:rsidRPr="00C42ECE">
        <w:rPr>
          <w:rFonts w:ascii="Times New Roman" w:eastAsia="Segoe UI" w:hAnsi="Times New Roman" w:cs="Times New Roman"/>
          <w:color w:val="000000"/>
          <w:sz w:val="20"/>
          <w:szCs w:val="20"/>
          <w:vertAlign w:val="superscript"/>
          <w:lang w:bidi="ru-RU"/>
        </w:rPr>
        <w:t>5</w:t>
      </w:r>
      <w:r w:rsidRPr="00C42ECE">
        <w:rPr>
          <w:rFonts w:ascii="Times New Roman" w:eastAsia="Segoe UI" w:hAnsi="Times New Roman" w:cs="Times New Roman"/>
          <w:color w:val="000000"/>
          <w:sz w:val="20"/>
          <w:szCs w:val="20"/>
          <w:lang w:bidi="ru-RU"/>
        </w:rPr>
        <w:t>Кафедра детской хирургии, клиника Синь Хуа, медицинский факультет Шанхайского университета Цзяо Тонг, Шанхай, Китай.</w:t>
      </w:r>
    </w:p>
    <w:p w14:paraId="1F0D1373" w14:textId="77777777" w:rsidR="00966C57" w:rsidRPr="00B45667" w:rsidRDefault="00966C57">
      <w:pPr>
        <w:pStyle w:val="40"/>
        <w:shd w:val="clear" w:color="auto" w:fill="auto"/>
        <w:spacing w:line="290" w:lineRule="auto"/>
        <w:rPr>
          <w:rFonts w:cs="Times New Roman"/>
          <w:color w:val="131413"/>
        </w:rPr>
      </w:pPr>
    </w:p>
    <w:p w14:paraId="1F0D1374" w14:textId="77777777" w:rsidR="004577D8" w:rsidRPr="00C42ECE" w:rsidRDefault="00722C17">
      <w:pPr>
        <w:pStyle w:val="40"/>
        <w:shd w:val="clear" w:color="auto" w:fill="auto"/>
        <w:spacing w:line="290" w:lineRule="auto"/>
        <w:rPr>
          <w:rFonts w:cs="Times New Roman"/>
          <w:sz w:val="20"/>
          <w:szCs w:val="20"/>
        </w:rPr>
      </w:pPr>
      <w:r w:rsidRPr="00C42ECE">
        <w:rPr>
          <w:rFonts w:eastAsia="Segoe UI" w:cs="Times New Roman"/>
          <w:color w:val="131413"/>
          <w:sz w:val="20"/>
          <w:szCs w:val="20"/>
          <w:lang w:bidi="ru-RU"/>
        </w:rPr>
        <w:t>Получено: 10 января 2017 г. Принято к публикации: 24 июля 2017 г.</w:t>
      </w:r>
    </w:p>
    <w:p w14:paraId="1F0D1375" w14:textId="77777777" w:rsidR="004577D8" w:rsidRPr="00C42ECE" w:rsidRDefault="00722C17">
      <w:pPr>
        <w:pStyle w:val="20"/>
        <w:shd w:val="clear" w:color="auto" w:fill="auto"/>
        <w:spacing w:line="240" w:lineRule="auto"/>
        <w:rPr>
          <w:color w:val="000000"/>
          <w:szCs w:val="20"/>
        </w:rPr>
      </w:pPr>
      <w:r w:rsidRPr="00C42ECE">
        <w:rPr>
          <w:color w:val="000000"/>
          <w:szCs w:val="20"/>
          <w:lang w:bidi="ru-RU"/>
        </w:rPr>
        <w:t>Опубликовано онлайн: 19 сентября 2017 г.</w:t>
      </w:r>
    </w:p>
    <w:p w14:paraId="1F0D1376" w14:textId="77777777" w:rsidR="00966C57" w:rsidRPr="00B45667" w:rsidRDefault="00966C57">
      <w:pPr>
        <w:pStyle w:val="20"/>
        <w:shd w:val="clear" w:color="auto" w:fill="auto"/>
        <w:spacing w:line="240" w:lineRule="auto"/>
        <w:rPr>
          <w:sz w:val="17"/>
          <w:szCs w:val="17"/>
        </w:rPr>
      </w:pPr>
    </w:p>
    <w:p w14:paraId="511BED97" w14:textId="06F43CA5" w:rsidR="0039535B" w:rsidRDefault="00722C17" w:rsidP="00FE2ED4">
      <w:pPr>
        <w:pStyle w:val="22"/>
        <w:keepNext w:val="0"/>
        <w:keepLines w:val="0"/>
        <w:pageBreakBefore/>
      </w:pPr>
      <w:bookmarkStart w:id="64" w:name="bookmark66"/>
      <w:bookmarkStart w:id="65" w:name="bookmark67"/>
      <w:r w:rsidRPr="00B45667">
        <w:lastRenderedPageBreak/>
        <w:t>Список литературы</w:t>
      </w:r>
      <w:bookmarkEnd w:id="64"/>
      <w:bookmarkEnd w:id="65"/>
    </w:p>
    <w:p w14:paraId="70D979A4" w14:textId="72AF5D04" w:rsidR="00B6756D" w:rsidRPr="0099078F" w:rsidRDefault="00650589" w:rsidP="00D559C3">
      <w:pPr>
        <w:tabs>
          <w:tab w:val="left" w:pos="0"/>
        </w:tabs>
        <w:spacing w:after="120"/>
        <w:jc w:val="both"/>
        <w:rPr>
          <w:szCs w:val="18"/>
        </w:rPr>
      </w:pPr>
      <w:r>
        <w:rPr>
          <w:noProof/>
          <w:lang w:eastAsia="ru-RU" w:bidi="ar-SA"/>
        </w:rPr>
        <w:drawing>
          <wp:inline distT="0" distB="0" distL="0" distR="0" wp14:anchorId="37461EE8" wp14:editId="0779F250">
            <wp:extent cx="6332220" cy="41808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4180840"/>
                    </a:xfrm>
                    <a:prstGeom prst="rect">
                      <a:avLst/>
                    </a:prstGeom>
                    <a:noFill/>
                    <a:ln>
                      <a:noFill/>
                    </a:ln>
                  </pic:spPr>
                </pic:pic>
              </a:graphicData>
            </a:graphic>
          </wp:inline>
        </w:drawing>
      </w:r>
      <w:r w:rsidR="00D559C3">
        <w:rPr>
          <w:noProof/>
          <w:lang w:eastAsia="ru-RU" w:bidi="ar-SA"/>
        </w:rPr>
        <w:drawing>
          <wp:inline distT="0" distB="0" distL="0" distR="0" wp14:anchorId="0BBE61FA" wp14:editId="56683B92">
            <wp:extent cx="6332220" cy="5111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2220" cy="5111750"/>
                    </a:xfrm>
                    <a:prstGeom prst="rect">
                      <a:avLst/>
                    </a:prstGeom>
                    <a:noFill/>
                    <a:ln>
                      <a:noFill/>
                    </a:ln>
                  </pic:spPr>
                </pic:pic>
              </a:graphicData>
            </a:graphic>
          </wp:inline>
        </w:drawing>
      </w:r>
      <w:r w:rsidR="00D559C3">
        <w:rPr>
          <w:noProof/>
          <w:lang w:eastAsia="ru-RU" w:bidi="ar-SA"/>
        </w:rPr>
        <w:lastRenderedPageBreak/>
        <w:drawing>
          <wp:inline distT="0" distB="0" distL="0" distR="0" wp14:anchorId="410BA962" wp14:editId="1C324F01">
            <wp:extent cx="6332220" cy="55943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220" cy="5594350"/>
                    </a:xfrm>
                    <a:prstGeom prst="rect">
                      <a:avLst/>
                    </a:prstGeom>
                    <a:noFill/>
                    <a:ln>
                      <a:noFill/>
                    </a:ln>
                  </pic:spPr>
                </pic:pic>
              </a:graphicData>
            </a:graphic>
          </wp:inline>
        </w:drawing>
      </w:r>
      <w:r w:rsidR="00D559C3">
        <w:rPr>
          <w:noProof/>
          <w:lang w:eastAsia="ru-RU" w:bidi="ar-SA"/>
        </w:rPr>
        <w:drawing>
          <wp:inline distT="0" distB="0" distL="0" distR="0" wp14:anchorId="7B8AE7B9" wp14:editId="25B0DA20">
            <wp:extent cx="6332220" cy="1696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220" cy="1696720"/>
                    </a:xfrm>
                    <a:prstGeom prst="rect">
                      <a:avLst/>
                    </a:prstGeom>
                    <a:noFill/>
                    <a:ln>
                      <a:noFill/>
                    </a:ln>
                  </pic:spPr>
                </pic:pic>
              </a:graphicData>
            </a:graphic>
          </wp:inline>
        </w:drawing>
      </w:r>
    </w:p>
    <w:p w14:paraId="62C72748" w14:textId="77777777" w:rsidR="0039535B" w:rsidRPr="0039535B" w:rsidRDefault="0039535B" w:rsidP="0039535B"/>
    <w:tbl>
      <w:tblPr>
        <w:tblOverlap w:val="never"/>
        <w:tblW w:w="0" w:type="auto"/>
        <w:jc w:val="right"/>
        <w:tblLayout w:type="fixed"/>
        <w:tblCellMar>
          <w:top w:w="17" w:type="dxa"/>
          <w:left w:w="17" w:type="dxa"/>
          <w:bottom w:w="17" w:type="dxa"/>
          <w:right w:w="17" w:type="dxa"/>
        </w:tblCellMar>
        <w:tblLook w:val="04A0" w:firstRow="1" w:lastRow="0" w:firstColumn="1" w:lastColumn="0" w:noHBand="0" w:noVBand="1"/>
      </w:tblPr>
      <w:tblGrid>
        <w:gridCol w:w="2944"/>
        <w:gridCol w:w="1800"/>
      </w:tblGrid>
      <w:tr w:rsidR="00966C57" w:rsidRPr="00B45667" w14:paraId="1F0D13BA" w14:textId="77777777" w:rsidTr="006248EB">
        <w:trPr>
          <w:trHeight w:val="2390"/>
          <w:jc w:val="right"/>
        </w:trPr>
        <w:tc>
          <w:tcPr>
            <w:tcW w:w="4744" w:type="dxa"/>
            <w:gridSpan w:val="2"/>
            <w:tcBorders>
              <w:top w:val="single" w:sz="4" w:space="0" w:color="auto"/>
              <w:left w:val="single" w:sz="4" w:space="0" w:color="auto"/>
              <w:right w:val="single" w:sz="4" w:space="0" w:color="auto"/>
            </w:tcBorders>
            <w:shd w:val="clear" w:color="auto" w:fill="FFFFFF"/>
          </w:tcPr>
          <w:p w14:paraId="1F0D13B2" w14:textId="77777777" w:rsidR="00966C57" w:rsidRPr="00B45667" w:rsidRDefault="00966C57" w:rsidP="006248EB">
            <w:pPr>
              <w:pStyle w:val="a4"/>
              <w:shd w:val="clear" w:color="auto" w:fill="auto"/>
              <w:spacing w:after="60" w:line="240" w:lineRule="auto"/>
              <w:ind w:left="113"/>
              <w:rPr>
                <w:rFonts w:cs="Times New Roman"/>
                <w:sz w:val="20"/>
                <w:szCs w:val="20"/>
              </w:rPr>
            </w:pPr>
            <w:r w:rsidRPr="00B45667">
              <w:rPr>
                <w:rFonts w:eastAsia="Segoe UI" w:cs="Times New Roman"/>
                <w:color w:val="131413"/>
                <w:sz w:val="20"/>
                <w:szCs w:val="20"/>
                <w:lang w:bidi="ru-RU"/>
              </w:rPr>
              <w:t xml:space="preserve">Направьте вашу следующую статью для публикации в журнале BioMed Central, </w:t>
            </w:r>
            <w:r w:rsidRPr="00B45667">
              <w:rPr>
                <w:rFonts w:eastAsia="Segoe UI" w:cs="Times New Roman"/>
                <w:color w:val="131413"/>
                <w:sz w:val="20"/>
                <w:szCs w:val="20"/>
                <w:lang w:bidi="ru-RU"/>
              </w:rPr>
              <w:br/>
              <w:t>и мы окажем вам содействие на всех этапах:</w:t>
            </w:r>
          </w:p>
          <w:p w14:paraId="1F0D13B3" w14:textId="77777777" w:rsidR="00966C57" w:rsidRPr="00B45667" w:rsidRDefault="00966C57" w:rsidP="006248EB">
            <w:pPr>
              <w:pStyle w:val="a4"/>
              <w:numPr>
                <w:ilvl w:val="0"/>
                <w:numId w:val="6"/>
              </w:numPr>
              <w:shd w:val="clear" w:color="auto" w:fill="auto"/>
              <w:spacing w:after="60" w:line="240" w:lineRule="auto"/>
              <w:ind w:left="408" w:hanging="141"/>
              <w:rPr>
                <w:rFonts w:cs="Times New Roman"/>
              </w:rPr>
            </w:pPr>
            <w:r w:rsidRPr="00B45667">
              <w:rPr>
                <w:rFonts w:eastAsia="Lucida Sans Unicode" w:cs="Times New Roman"/>
                <w:color w:val="292829"/>
                <w:lang w:bidi="ru-RU"/>
              </w:rPr>
              <w:t>Мы предоставляем справочную информацию до подачи статьи</w:t>
            </w:r>
          </w:p>
          <w:p w14:paraId="1F0D13B4" w14:textId="77777777" w:rsidR="00966C57" w:rsidRPr="00B45667" w:rsidRDefault="00966C57" w:rsidP="006248EB">
            <w:pPr>
              <w:pStyle w:val="a4"/>
              <w:numPr>
                <w:ilvl w:val="0"/>
                <w:numId w:val="7"/>
              </w:numPr>
              <w:shd w:val="clear" w:color="auto" w:fill="auto"/>
              <w:tabs>
                <w:tab w:val="left" w:pos="430"/>
              </w:tabs>
              <w:spacing w:after="60" w:line="240" w:lineRule="auto"/>
              <w:ind w:left="408" w:hanging="141"/>
              <w:rPr>
                <w:rFonts w:cs="Times New Roman"/>
              </w:rPr>
            </w:pPr>
            <w:r w:rsidRPr="00B45667">
              <w:rPr>
                <w:rFonts w:eastAsia="Lucida Sans Unicode" w:cs="Times New Roman"/>
                <w:color w:val="292829"/>
                <w:lang w:bidi="ru-RU"/>
              </w:rPr>
              <w:t>Наш алгоритм выбора поможет найти наиболее подходящий журнал</w:t>
            </w:r>
          </w:p>
          <w:p w14:paraId="1F0D13B5" w14:textId="77777777" w:rsidR="00966C57" w:rsidRPr="00B45667" w:rsidRDefault="00966C57" w:rsidP="006248EB">
            <w:pPr>
              <w:pStyle w:val="a4"/>
              <w:numPr>
                <w:ilvl w:val="0"/>
                <w:numId w:val="7"/>
              </w:numPr>
              <w:shd w:val="clear" w:color="auto" w:fill="auto"/>
              <w:tabs>
                <w:tab w:val="left" w:pos="425"/>
              </w:tabs>
              <w:spacing w:after="60" w:line="240" w:lineRule="auto"/>
              <w:ind w:left="408" w:hanging="141"/>
              <w:rPr>
                <w:rFonts w:cs="Times New Roman"/>
              </w:rPr>
            </w:pPr>
            <w:r w:rsidRPr="00B45667">
              <w:rPr>
                <w:rFonts w:eastAsia="Lucida Sans Unicode" w:cs="Times New Roman"/>
                <w:color w:val="292829"/>
                <w:lang w:bidi="ru-RU"/>
              </w:rPr>
              <w:t>Мы предоставляем круглосуточную техническую поддержку</w:t>
            </w:r>
          </w:p>
          <w:p w14:paraId="1F0D13B6" w14:textId="77777777" w:rsidR="00966C57" w:rsidRPr="00B45667" w:rsidRDefault="00966C57" w:rsidP="006248EB">
            <w:pPr>
              <w:pStyle w:val="a4"/>
              <w:numPr>
                <w:ilvl w:val="0"/>
                <w:numId w:val="7"/>
              </w:numPr>
              <w:shd w:val="clear" w:color="auto" w:fill="auto"/>
              <w:tabs>
                <w:tab w:val="left" w:pos="430"/>
              </w:tabs>
              <w:spacing w:after="60" w:line="240" w:lineRule="auto"/>
              <w:ind w:left="408" w:hanging="141"/>
              <w:rPr>
                <w:rFonts w:cs="Times New Roman"/>
              </w:rPr>
            </w:pPr>
            <w:r w:rsidRPr="00B45667">
              <w:rPr>
                <w:rFonts w:eastAsia="Lucida Sans Unicode" w:cs="Times New Roman"/>
                <w:color w:val="292829"/>
                <w:lang w:bidi="ru-RU"/>
              </w:rPr>
              <w:t>Удобная подача онлайн</w:t>
            </w:r>
          </w:p>
          <w:p w14:paraId="1F0D13B7" w14:textId="77777777" w:rsidR="00966C57" w:rsidRPr="00B45667" w:rsidRDefault="00966C57" w:rsidP="006248EB">
            <w:pPr>
              <w:pStyle w:val="a4"/>
              <w:numPr>
                <w:ilvl w:val="0"/>
                <w:numId w:val="7"/>
              </w:numPr>
              <w:shd w:val="clear" w:color="auto" w:fill="auto"/>
              <w:tabs>
                <w:tab w:val="left" w:pos="420"/>
              </w:tabs>
              <w:spacing w:after="60" w:line="240" w:lineRule="auto"/>
              <w:ind w:left="408" w:hanging="141"/>
              <w:rPr>
                <w:rFonts w:cs="Times New Roman"/>
              </w:rPr>
            </w:pPr>
            <w:r w:rsidRPr="00B45667">
              <w:rPr>
                <w:rFonts w:eastAsia="Lucida Sans Unicode" w:cs="Times New Roman"/>
                <w:color w:val="292829"/>
                <w:lang w:bidi="ru-RU"/>
              </w:rPr>
              <w:t>Обстоятельные рецензии</w:t>
            </w:r>
          </w:p>
          <w:p w14:paraId="1F0D13B8" w14:textId="77777777" w:rsidR="00966C57" w:rsidRPr="00B45667" w:rsidRDefault="00966C57" w:rsidP="006248EB">
            <w:pPr>
              <w:pStyle w:val="a4"/>
              <w:numPr>
                <w:ilvl w:val="0"/>
                <w:numId w:val="7"/>
              </w:numPr>
              <w:shd w:val="clear" w:color="auto" w:fill="auto"/>
              <w:tabs>
                <w:tab w:val="left" w:pos="434"/>
              </w:tabs>
              <w:spacing w:after="60" w:line="240" w:lineRule="auto"/>
              <w:ind w:left="408" w:hanging="141"/>
              <w:rPr>
                <w:rFonts w:cs="Times New Roman"/>
              </w:rPr>
            </w:pPr>
            <w:r w:rsidRPr="00B45667">
              <w:rPr>
                <w:rFonts w:eastAsia="Lucida Sans Unicode" w:cs="Times New Roman"/>
                <w:color w:val="292829"/>
                <w:lang w:bidi="ru-RU"/>
              </w:rPr>
              <w:t>Включение в базу данных PubMed и все основные поисковые системы</w:t>
            </w:r>
          </w:p>
          <w:p w14:paraId="1F0D13B9" w14:textId="77777777" w:rsidR="00966C57" w:rsidRPr="00B45667" w:rsidRDefault="00966C57" w:rsidP="006248EB">
            <w:pPr>
              <w:pStyle w:val="a4"/>
              <w:numPr>
                <w:ilvl w:val="0"/>
                <w:numId w:val="7"/>
              </w:numPr>
              <w:shd w:val="clear" w:color="auto" w:fill="auto"/>
              <w:tabs>
                <w:tab w:val="left" w:pos="434"/>
              </w:tabs>
              <w:spacing w:line="240" w:lineRule="auto"/>
              <w:ind w:left="408" w:hanging="141"/>
              <w:rPr>
                <w:rFonts w:cs="Times New Roman"/>
              </w:rPr>
            </w:pPr>
            <w:r w:rsidRPr="00B45667">
              <w:rPr>
                <w:rFonts w:eastAsia="Lucida Sans Unicode" w:cs="Times New Roman"/>
                <w:color w:val="292829"/>
                <w:lang w:bidi="ru-RU"/>
              </w:rPr>
              <w:t>Максимальная заметность вашего исследования</w:t>
            </w:r>
          </w:p>
        </w:tc>
      </w:tr>
      <w:tr w:rsidR="00966C57" w:rsidRPr="00B45667" w14:paraId="1F0D13BD" w14:textId="77777777" w:rsidTr="006248EB">
        <w:trPr>
          <w:trHeight w:val="576"/>
          <w:jc w:val="right"/>
        </w:trPr>
        <w:tc>
          <w:tcPr>
            <w:tcW w:w="2944" w:type="dxa"/>
            <w:tcBorders>
              <w:left w:val="single" w:sz="4" w:space="0" w:color="auto"/>
              <w:bottom w:val="single" w:sz="4" w:space="0" w:color="auto"/>
            </w:tcBorders>
            <w:shd w:val="clear" w:color="auto" w:fill="FFFFFF"/>
            <w:vAlign w:val="center"/>
          </w:tcPr>
          <w:p w14:paraId="1F0D13BB" w14:textId="77777777" w:rsidR="00966C57" w:rsidRPr="00B45667" w:rsidRDefault="00966C57" w:rsidP="006248EB">
            <w:pPr>
              <w:pStyle w:val="a4"/>
              <w:shd w:val="clear" w:color="auto" w:fill="auto"/>
              <w:spacing w:line="240" w:lineRule="auto"/>
              <w:ind w:left="267"/>
              <w:rPr>
                <w:rFonts w:cs="Times New Roman"/>
              </w:rPr>
            </w:pPr>
            <w:r w:rsidRPr="00B45667">
              <w:rPr>
                <w:rFonts w:eastAsia="Lucida Sans Unicode" w:cs="Times New Roman"/>
                <w:color w:val="292829"/>
                <w:lang w:bidi="ru-RU"/>
              </w:rPr>
              <w:t xml:space="preserve">Подайте статью через сайт </w:t>
            </w:r>
            <w:hyperlink r:id="rId47" w:history="1">
              <w:r w:rsidRPr="00B45667">
                <w:rPr>
                  <w:rFonts w:eastAsia="Lucida Sans Unicode" w:cs="Times New Roman"/>
                  <w:color w:val="292829"/>
                  <w:lang w:bidi="ru-RU"/>
                </w:rPr>
                <w:t>www.biomedcentral.com/submit</w:t>
              </w:r>
            </w:hyperlink>
          </w:p>
        </w:tc>
        <w:tc>
          <w:tcPr>
            <w:tcW w:w="1800" w:type="dxa"/>
            <w:tcBorders>
              <w:bottom w:val="single" w:sz="4" w:space="0" w:color="auto"/>
              <w:right w:val="single" w:sz="4" w:space="0" w:color="auto"/>
            </w:tcBorders>
            <w:shd w:val="clear" w:color="auto" w:fill="FFFFFF"/>
          </w:tcPr>
          <w:p w14:paraId="1F0D13BC" w14:textId="77777777" w:rsidR="00966C57" w:rsidRPr="00B45667" w:rsidRDefault="00966C57" w:rsidP="00966C57">
            <w:pPr>
              <w:rPr>
                <w:rFonts w:cs="Times New Roman"/>
                <w:sz w:val="2"/>
                <w:szCs w:val="2"/>
              </w:rPr>
            </w:pPr>
            <w:r w:rsidRPr="00B45667">
              <w:rPr>
                <w:rFonts w:eastAsia="Segoe UI" w:cs="Times New Roman"/>
                <w:noProof/>
                <w:lang w:eastAsia="ru-RU" w:bidi="ar-SA"/>
              </w:rPr>
              <w:drawing>
                <wp:inline distT="0" distB="0" distL="0" distR="0" wp14:anchorId="1F0D13D1" wp14:editId="1F0D13D2">
                  <wp:extent cx="1144921" cy="345782"/>
                  <wp:effectExtent l="0" t="0" r="0" b="0"/>
                  <wp:docPr id="80"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8"/>
                          <a:srcRect b="5359"/>
                          <a:stretch/>
                        </pic:blipFill>
                        <pic:spPr bwMode="auto">
                          <a:xfrm>
                            <a:off x="0" y="0"/>
                            <a:ext cx="1146175" cy="3461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0D13BE" w14:textId="77777777" w:rsidR="00966C57" w:rsidRPr="00B45667" w:rsidRDefault="00966C57" w:rsidP="00966C57">
      <w:pPr>
        <w:pStyle w:val="30"/>
        <w:shd w:val="clear" w:color="auto" w:fill="auto"/>
        <w:ind w:left="0"/>
        <w:rPr>
          <w:rFonts w:ascii="Times New Roman" w:hAnsi="Times New Roman" w:cs="Times New Roman"/>
        </w:rPr>
      </w:pPr>
    </w:p>
    <w:sectPr w:rsidR="00966C57" w:rsidRPr="00B45667" w:rsidSect="00CA37A5">
      <w:headerReference w:type="default" r:id="rId49"/>
      <w:pgSz w:w="12240" w:h="16834"/>
      <w:pgMar w:top="851" w:right="1134" w:bottom="568" w:left="1134" w:header="567" w:footer="32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1031C" w14:textId="77777777" w:rsidR="005E2D5C" w:rsidRDefault="005E2D5C">
      <w:r>
        <w:separator/>
      </w:r>
    </w:p>
  </w:endnote>
  <w:endnote w:type="continuationSeparator" w:id="0">
    <w:p w14:paraId="54066EA9" w14:textId="77777777" w:rsidR="005E2D5C" w:rsidRDefault="005E2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embedRegular r:id="rId1" w:fontKey="{8EAC6AE3-187F-4C3A-A347-1BC1180CC76E}"/>
    <w:embedItalic r:id="rId2" w:fontKey="{91CD8F5C-E8D7-44F8-BAFB-A5AA494A1B3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3" w:fontKey="{4517E880-818F-4CCF-BCC5-8C34826D5AF4}"/>
    <w:embedBold r:id="rId4" w:fontKey="{7DBFDFAA-3D7A-42FA-9612-4C368E2076FB}"/>
    <w:embedItalic r:id="rId5" w:fontKey="{8054813D-076E-4234-9BC1-1819599172A0}"/>
  </w:font>
  <w:font w:name="Calibri">
    <w:panose1 w:val="020F0502020204030204"/>
    <w:charset w:val="CC"/>
    <w:family w:val="swiss"/>
    <w:pitch w:val="variable"/>
    <w:sig w:usb0="E00002FF" w:usb1="4000ACFF" w:usb2="00000001" w:usb3="00000000" w:csb0="0000019F" w:csb1="00000000"/>
    <w:embedRegular r:id="rId6" w:fontKey="{153A6B92-AD18-4DF3-AC5A-DE7B284C2C69}"/>
    <w:embedBold r:id="rId7" w:fontKey="{5D89A009-B272-4AC5-8F3D-D36E3A5C6A63}"/>
  </w:font>
  <w:font w:name="Tahoma">
    <w:panose1 w:val="020B0604030504040204"/>
    <w:charset w:val="CC"/>
    <w:family w:val="swiss"/>
    <w:pitch w:val="variable"/>
    <w:sig w:usb0="E1002EFF" w:usb1="C000605B" w:usb2="00000029" w:usb3="00000000" w:csb0="000101FF" w:csb1="00000000"/>
    <w:embedRegular r:id="rId8" w:fontKey="{860FEE0B-3647-4DB7-92E5-405983E18275}"/>
  </w:font>
  <w:font w:name="MS Mincho">
    <w:altName w:val="ＭＳ 明朝"/>
    <w:panose1 w:val="02020609040205080304"/>
    <w:charset w:val="80"/>
    <w:family w:val="modern"/>
    <w:pitch w:val="fixed"/>
    <w:sig w:usb0="E00002FF" w:usb1="6AC7FDFB" w:usb2="00000012" w:usb3="00000000" w:csb0="0002009F" w:csb1="00000000"/>
  </w:font>
  <w:font w:name="DppwqsAdvTTe45e47d2">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9" w:fontKey="{5F1180EB-D08B-4EC9-8511-3A1A549CE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1860" w14:textId="77777777" w:rsidR="006405BE" w:rsidRDefault="006405B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2650"/>
      <w:gridCol w:w="7356"/>
    </w:tblGrid>
    <w:tr w:rsidR="00D73B96" w14:paraId="18EA272D" w14:textId="77777777" w:rsidTr="00D73B96">
      <w:trPr>
        <w:trHeight w:val="43"/>
      </w:trPr>
      <w:tc>
        <w:tcPr>
          <w:tcW w:w="1324" w:type="pct"/>
          <w:shd w:val="clear" w:color="auto" w:fill="FFFFFF"/>
          <w:vAlign w:val="center"/>
        </w:tcPr>
        <w:p w14:paraId="05AB4528" w14:textId="77777777" w:rsidR="00D73B96" w:rsidRDefault="00D73B96" w:rsidP="00D73B96">
          <w:pPr>
            <w:jc w:val="center"/>
            <w:rPr>
              <w:noProof/>
              <w:lang w:bidi="ru-RU"/>
            </w:rPr>
          </w:pPr>
        </w:p>
      </w:tc>
      <w:tc>
        <w:tcPr>
          <w:tcW w:w="3676" w:type="pct"/>
          <w:shd w:val="clear" w:color="auto" w:fill="FFFFFF"/>
          <w:vAlign w:val="center"/>
        </w:tcPr>
        <w:p w14:paraId="1688CB41" w14:textId="77777777" w:rsidR="00D73B96" w:rsidRPr="00D73B96" w:rsidRDefault="00D73B96" w:rsidP="00D73B96">
          <w:pPr>
            <w:pStyle w:val="a4"/>
            <w:shd w:val="clear" w:color="auto" w:fill="auto"/>
            <w:spacing w:line="240" w:lineRule="auto"/>
            <w:ind w:right="57"/>
            <w:jc w:val="both"/>
            <w:rPr>
              <w:rFonts w:eastAsia="Lucida Sans Unicode" w:cs="Times New Roman"/>
              <w:color w:val="131413"/>
              <w:sz w:val="10"/>
              <w:szCs w:val="10"/>
              <w:lang w:bidi="ru-RU"/>
            </w:rPr>
          </w:pPr>
        </w:p>
      </w:tc>
    </w:tr>
    <w:tr w:rsidR="00E55852" w14:paraId="2E79DB50" w14:textId="77777777" w:rsidTr="00D73B96">
      <w:trPr>
        <w:trHeight w:val="549"/>
      </w:trPr>
      <w:tc>
        <w:tcPr>
          <w:tcW w:w="1324" w:type="pct"/>
          <w:shd w:val="clear" w:color="auto" w:fill="FFFFFF"/>
          <w:vAlign w:val="center"/>
        </w:tcPr>
        <w:p w14:paraId="0E0A7C73" w14:textId="77777777" w:rsidR="00E55852" w:rsidRDefault="00E55852" w:rsidP="00D73B96">
          <w:pPr>
            <w:jc w:val="center"/>
            <w:rPr>
              <w:sz w:val="2"/>
              <w:szCs w:val="2"/>
            </w:rPr>
          </w:pPr>
          <w:r>
            <w:rPr>
              <w:noProof/>
              <w:lang w:eastAsia="ru-RU" w:bidi="ar-SA"/>
            </w:rPr>
            <w:drawing>
              <wp:inline distT="0" distB="0" distL="0" distR="0" wp14:anchorId="13DF5366" wp14:editId="7D706CBE">
                <wp:extent cx="1276350" cy="384778"/>
                <wp:effectExtent l="0" t="0" r="0" b="0"/>
                <wp:docPr id="4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pic:blipFill>
                      <pic:spPr>
                        <a:xfrm>
                          <a:off x="0" y="0"/>
                          <a:ext cx="1427944" cy="430479"/>
                        </a:xfrm>
                        <a:prstGeom prst="rect">
                          <a:avLst/>
                        </a:prstGeom>
                      </pic:spPr>
                    </pic:pic>
                  </a:graphicData>
                </a:graphic>
              </wp:inline>
            </w:drawing>
          </w:r>
        </w:p>
      </w:tc>
      <w:tc>
        <w:tcPr>
          <w:tcW w:w="3676" w:type="pct"/>
          <w:shd w:val="clear" w:color="auto" w:fill="FFFFFF"/>
          <w:vAlign w:val="center"/>
        </w:tcPr>
        <w:p w14:paraId="4354FCFA" w14:textId="77777777" w:rsidR="00E55852" w:rsidRPr="00D73B96" w:rsidRDefault="00E55852" w:rsidP="00D73B96">
          <w:pPr>
            <w:pStyle w:val="a4"/>
            <w:shd w:val="clear" w:color="auto" w:fill="auto"/>
            <w:spacing w:line="240" w:lineRule="auto"/>
            <w:ind w:right="57"/>
            <w:jc w:val="both"/>
            <w:rPr>
              <w:rFonts w:cs="Times New Roman"/>
              <w:sz w:val="10"/>
              <w:szCs w:val="10"/>
            </w:rPr>
          </w:pPr>
          <w:r w:rsidRPr="00D73B96">
            <w:rPr>
              <w:rFonts w:eastAsia="Lucida Sans Unicode" w:cs="Times New Roman"/>
              <w:color w:val="131413"/>
              <w:sz w:val="10"/>
              <w:szCs w:val="10"/>
              <w:lang w:bidi="ru-RU"/>
            </w:rPr>
            <w:t>© Автор(ы). 2017 г. Открытый доступ. Статья распространяется в соответствии с международной лицензией Creative Commons Attribution 4.0 (</w:t>
          </w:r>
          <w:hyperlink r:id="rId2" w:history="1">
            <w:r w:rsidRPr="00D73B96">
              <w:rPr>
                <w:rFonts w:eastAsia="Lucida Sans Unicode" w:cs="Times New Roman"/>
                <w:color w:val="131413"/>
                <w:sz w:val="10"/>
                <w:szCs w:val="10"/>
                <w:lang w:bidi="ru-RU"/>
              </w:rPr>
              <w:t>http://creativecommons.org/licenses/by/4.0/</w:t>
            </w:r>
          </w:hyperlink>
          <w:r w:rsidRPr="00D73B96">
            <w:rPr>
              <w:rFonts w:eastAsia="Lucida Sans Unicode" w:cs="Times New Roman"/>
              <w:color w:val="131413"/>
              <w:sz w:val="10"/>
              <w:szCs w:val="10"/>
              <w:lang w:bidi="ru-RU"/>
            </w:rPr>
            <w:t>), которая допускает неограниченное использование, распространение и воспроизведение на любом носителе при условии, что будут указаны авторы статьи с ссылкой на оригинальный источник и на лицензию Creative Commons, а также перечислены все внесенные изменения, если таковые были. Данные, приведенные в этой статье, распространяются в соответствии с положением лицензии Creative Commons(</w:t>
          </w:r>
          <w:hyperlink r:id="rId3" w:history="1">
            <w:r w:rsidRPr="00D73B96">
              <w:rPr>
                <w:rFonts w:eastAsia="Lucida Sans Unicode" w:cs="Times New Roman"/>
                <w:color w:val="131413"/>
                <w:sz w:val="10"/>
                <w:szCs w:val="10"/>
                <w:lang w:bidi="ru-RU"/>
              </w:rPr>
              <w:t>http://creativecommons.org/publicdomain/zero/1.0/</w:t>
            </w:r>
          </w:hyperlink>
          <w:r w:rsidRPr="00D73B96">
            <w:rPr>
              <w:rFonts w:eastAsia="Lucida Sans Unicode" w:cs="Times New Roman"/>
              <w:color w:val="131413"/>
              <w:sz w:val="10"/>
              <w:szCs w:val="10"/>
              <w:lang w:bidi="ru-RU"/>
            </w:rPr>
            <w:t>) о добровольном полном отказе от авторских прав и передаче данных в общественное пользование, если не указано иное.</w:t>
          </w:r>
        </w:p>
      </w:tc>
    </w:tr>
  </w:tbl>
  <w:p w14:paraId="0A525E76" w14:textId="77777777" w:rsidR="00E55852" w:rsidRDefault="00E5585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016AC" w14:textId="77777777" w:rsidR="006405BE" w:rsidRDefault="006405BE">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1E3D9" w14:textId="77777777" w:rsidR="00805641" w:rsidRDefault="0080564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7CCC9" w14:textId="77777777" w:rsidR="005E2D5C" w:rsidRDefault="005E2D5C">
      <w:r>
        <w:separator/>
      </w:r>
    </w:p>
  </w:footnote>
  <w:footnote w:type="continuationSeparator" w:id="0">
    <w:p w14:paraId="044CA3E6" w14:textId="77777777" w:rsidR="005E2D5C" w:rsidRDefault="005E2D5C"/>
  </w:footnote>
  <w:footnote w:id="1">
    <w:p w14:paraId="4E968CB8" w14:textId="43816EC9" w:rsidR="00D73B96" w:rsidRPr="00D73B96" w:rsidRDefault="00D73B96" w:rsidP="00D73B96">
      <w:pPr>
        <w:pStyle w:val="30"/>
        <w:shd w:val="clear" w:color="auto" w:fill="auto"/>
        <w:ind w:left="0"/>
        <w:rPr>
          <w:rFonts w:ascii="Times New Roman" w:hAnsi="Times New Roman" w:cs="Times New Roman"/>
          <w:sz w:val="10"/>
          <w:szCs w:val="10"/>
        </w:rPr>
      </w:pPr>
      <w:r w:rsidRPr="00D73B96">
        <w:rPr>
          <w:rStyle w:val="af7"/>
          <w:vanish/>
          <w:sz w:val="10"/>
          <w:szCs w:val="10"/>
        </w:rPr>
        <w:footnoteRef/>
      </w:r>
      <w:r w:rsidRPr="00D73B96">
        <w:rPr>
          <w:rFonts w:ascii="Times New Roman" w:eastAsia="Segoe UI" w:hAnsi="Times New Roman" w:cs="Times New Roman"/>
          <w:color w:val="000000"/>
          <w:sz w:val="10"/>
          <w:szCs w:val="10"/>
          <w:lang w:bidi="ru-RU"/>
        </w:rPr>
        <w:t xml:space="preserve">*Адрес для переписки: </w:t>
      </w:r>
      <w:hyperlink r:id="rId1" w:history="1">
        <w:r w:rsidRPr="00D73B96">
          <w:rPr>
            <w:rFonts w:ascii="Times New Roman" w:eastAsia="Segoe UI" w:hAnsi="Times New Roman" w:cs="Times New Roman"/>
            <w:sz w:val="10"/>
            <w:szCs w:val="10"/>
            <w:lang w:bidi="ru-RU"/>
          </w:rPr>
          <w:t>caiw1978@163.com</w:t>
        </w:r>
      </w:hyperlink>
      <w:r w:rsidRPr="00D73B96">
        <w:rPr>
          <w:rFonts w:ascii="Times New Roman" w:eastAsia="Segoe UI" w:hAnsi="Times New Roman" w:cs="Times New Roman"/>
          <w:color w:val="000000"/>
          <w:sz w:val="10"/>
          <w:szCs w:val="10"/>
          <w:lang w:bidi="ru-RU"/>
        </w:rPr>
        <w:t xml:space="preserve">; </w:t>
      </w:r>
      <w:hyperlink r:id="rId2" w:history="1">
        <w:r w:rsidRPr="00D73B96">
          <w:rPr>
            <w:rFonts w:ascii="Times New Roman" w:eastAsia="Segoe UI" w:hAnsi="Times New Roman" w:cs="Times New Roman"/>
            <w:sz w:val="10"/>
            <w:szCs w:val="10"/>
            <w:lang w:bidi="ru-RU"/>
          </w:rPr>
          <w:t>kahe@indiana.edu</w:t>
        </w:r>
      </w:hyperlink>
    </w:p>
    <w:p w14:paraId="00A14457" w14:textId="77777777" w:rsidR="00D73B96" w:rsidRPr="00D73B96" w:rsidRDefault="00D73B96" w:rsidP="00D73B96">
      <w:pPr>
        <w:pStyle w:val="30"/>
        <w:shd w:val="clear" w:color="auto" w:fill="auto"/>
        <w:ind w:left="0"/>
        <w:rPr>
          <w:rFonts w:ascii="Times New Roman" w:hAnsi="Times New Roman" w:cs="Times New Roman"/>
          <w:sz w:val="10"/>
          <w:szCs w:val="10"/>
        </w:rPr>
      </w:pPr>
      <w:r w:rsidRPr="00D73B96">
        <w:rPr>
          <w:rFonts w:ascii="Times New Roman" w:eastAsia="Segoe UI" w:hAnsi="Times New Roman" w:cs="Times New Roman"/>
          <w:color w:val="000000"/>
          <w:sz w:val="10"/>
          <w:szCs w:val="10"/>
          <w:lang w:bidi="ru-RU"/>
        </w:rPr>
        <w:t>Цзян Ву (Jiang Wu) и Пэнчэн Сюнь (Pengcheng Xun) оба являются первыми авторами данной публикации.</w:t>
      </w:r>
    </w:p>
    <w:p w14:paraId="45C77ABF" w14:textId="77777777" w:rsidR="00D73B96" w:rsidRPr="00D73B96" w:rsidRDefault="00D73B96" w:rsidP="00D73B96">
      <w:pPr>
        <w:pStyle w:val="30"/>
        <w:shd w:val="clear" w:color="auto" w:fill="auto"/>
        <w:ind w:left="0"/>
        <w:rPr>
          <w:rFonts w:ascii="Times New Roman" w:hAnsi="Times New Roman" w:cs="Times New Roman"/>
          <w:sz w:val="10"/>
          <w:szCs w:val="10"/>
        </w:rPr>
      </w:pPr>
      <w:r w:rsidRPr="00D73B96">
        <w:rPr>
          <w:rFonts w:ascii="Times New Roman" w:eastAsia="Segoe UI" w:hAnsi="Times New Roman" w:cs="Times New Roman"/>
          <w:color w:val="000000"/>
          <w:sz w:val="10"/>
          <w:szCs w:val="10"/>
          <w:vertAlign w:val="superscript"/>
          <w:lang w:bidi="ru-RU"/>
        </w:rPr>
        <w:t>†</w:t>
      </w:r>
      <w:r w:rsidRPr="00D73B96">
        <w:rPr>
          <w:rFonts w:ascii="Times New Roman" w:eastAsia="Segoe UI" w:hAnsi="Times New Roman" w:cs="Times New Roman"/>
          <w:color w:val="000000"/>
          <w:sz w:val="10"/>
          <w:szCs w:val="10"/>
          <w:lang w:bidi="ru-RU"/>
        </w:rPr>
        <w:t>Внесли равный вклад</w:t>
      </w:r>
    </w:p>
    <w:p w14:paraId="10BCD39F" w14:textId="77777777" w:rsidR="00D73B96" w:rsidRPr="00D73B96" w:rsidRDefault="00D73B96" w:rsidP="00D73B96">
      <w:pPr>
        <w:pStyle w:val="30"/>
        <w:shd w:val="clear" w:color="auto" w:fill="auto"/>
        <w:ind w:left="0"/>
        <w:rPr>
          <w:rFonts w:ascii="Times New Roman" w:hAnsi="Times New Roman" w:cs="Times New Roman"/>
          <w:color w:val="000000"/>
          <w:sz w:val="10"/>
          <w:szCs w:val="10"/>
        </w:rPr>
      </w:pPr>
      <w:r w:rsidRPr="00D73B96">
        <w:rPr>
          <w:rFonts w:ascii="Times New Roman" w:eastAsia="Segoe UI" w:hAnsi="Times New Roman" w:cs="Times New Roman"/>
          <w:color w:val="000000"/>
          <w:sz w:val="10"/>
          <w:szCs w:val="10"/>
          <w:vertAlign w:val="superscript"/>
          <w:lang w:bidi="ru-RU"/>
        </w:rPr>
        <w:t>1</w:t>
      </w:r>
      <w:r w:rsidRPr="00D73B96">
        <w:rPr>
          <w:rFonts w:ascii="Times New Roman" w:eastAsia="Segoe UI" w:hAnsi="Times New Roman" w:cs="Times New Roman"/>
          <w:color w:val="000000"/>
          <w:sz w:val="10"/>
          <w:szCs w:val="10"/>
          <w:lang w:bidi="ru-RU"/>
        </w:rPr>
        <w:t xml:space="preserve">Кафедра лечебного питания, клиника Синь Хуа, медицинский факультет </w:t>
      </w:r>
      <w:r w:rsidRPr="00D73B96">
        <w:rPr>
          <w:rFonts w:ascii="Times New Roman" w:eastAsia="Segoe UI" w:hAnsi="Times New Roman" w:cs="Times New Roman"/>
          <w:color w:val="000000"/>
          <w:sz w:val="10"/>
          <w:szCs w:val="10"/>
          <w:lang w:bidi="ru-RU"/>
        </w:rPr>
        <w:br/>
        <w:t xml:space="preserve">Шанхайского университета Цзяо Тонг, № 1665, Конгцзян Роуд, Шанхай, Китай </w:t>
      </w:r>
    </w:p>
    <w:p w14:paraId="370F3EB9" w14:textId="77777777" w:rsidR="00D73B96" w:rsidRPr="00D73B96" w:rsidRDefault="00D73B96" w:rsidP="00D73B96">
      <w:pPr>
        <w:pStyle w:val="30"/>
        <w:shd w:val="clear" w:color="auto" w:fill="auto"/>
        <w:ind w:left="0"/>
        <w:rPr>
          <w:rFonts w:ascii="Times New Roman" w:hAnsi="Times New Roman" w:cs="Times New Roman"/>
          <w:sz w:val="10"/>
          <w:szCs w:val="10"/>
        </w:rPr>
      </w:pPr>
      <w:r w:rsidRPr="00D73B96">
        <w:rPr>
          <w:rFonts w:ascii="Times New Roman" w:eastAsia="Segoe UI" w:hAnsi="Times New Roman" w:cs="Times New Roman"/>
          <w:color w:val="000000"/>
          <w:sz w:val="10"/>
          <w:szCs w:val="10"/>
          <w:vertAlign w:val="superscript"/>
          <w:lang w:bidi="ru-RU"/>
        </w:rPr>
        <w:t>4</w:t>
      </w:r>
      <w:r w:rsidRPr="00D73B96">
        <w:rPr>
          <w:rFonts w:ascii="Times New Roman" w:eastAsia="Segoe UI" w:hAnsi="Times New Roman" w:cs="Times New Roman"/>
          <w:color w:val="000000"/>
          <w:sz w:val="10"/>
          <w:szCs w:val="10"/>
          <w:lang w:bidi="ru-RU"/>
        </w:rPr>
        <w:t xml:space="preserve">Кафедра эпидемиологии и биостатистики, факультет общественного </w:t>
      </w:r>
      <w:r w:rsidRPr="00D73B96">
        <w:rPr>
          <w:rFonts w:ascii="Times New Roman" w:eastAsia="Segoe UI" w:hAnsi="Times New Roman" w:cs="Times New Roman"/>
          <w:color w:val="000000"/>
          <w:sz w:val="10"/>
          <w:szCs w:val="10"/>
          <w:lang w:bidi="ru-RU"/>
        </w:rPr>
        <w:br/>
        <w:t xml:space="preserve">здравоохранения Университета Индианы в Блумингтоне, Седьмая улица, C042, </w:t>
      </w:r>
      <w:r w:rsidRPr="00D73B96">
        <w:rPr>
          <w:rFonts w:ascii="Times New Roman" w:eastAsia="Segoe UI" w:hAnsi="Times New Roman" w:cs="Times New Roman"/>
          <w:color w:val="000000"/>
          <w:sz w:val="10"/>
          <w:szCs w:val="10"/>
          <w:lang w:bidi="ru-RU"/>
        </w:rPr>
        <w:br/>
        <w:t>Блумингтон, Индиана 47405, США</w:t>
      </w:r>
    </w:p>
    <w:p w14:paraId="21492AF4" w14:textId="5EE60F61" w:rsidR="00D73B96" w:rsidRPr="00D73B96" w:rsidRDefault="00D73B96" w:rsidP="00D73B96">
      <w:pPr>
        <w:pStyle w:val="af5"/>
        <w:rPr>
          <w:sz w:val="10"/>
          <w:szCs w:val="10"/>
        </w:rPr>
      </w:pPr>
      <w:r w:rsidRPr="00D73B96">
        <w:rPr>
          <w:rFonts w:eastAsia="Segoe UI" w:cs="Times New Roman"/>
          <w:sz w:val="10"/>
          <w:szCs w:val="10"/>
          <w:lang w:bidi="ru-RU"/>
        </w:rPr>
        <w:t>Полная информация об авторах представлена в конце статьи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54DF" w14:textId="77777777" w:rsidR="006405BE" w:rsidRDefault="006405B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341"/>
      <w:gridCol w:w="4665"/>
    </w:tblGrid>
    <w:tr w:rsidR="00705422" w14:paraId="1F0D13DA" w14:textId="77777777" w:rsidTr="00722C17">
      <w:trPr>
        <w:trHeight w:val="340"/>
      </w:trPr>
      <w:tc>
        <w:tcPr>
          <w:tcW w:w="2669" w:type="pct"/>
          <w:shd w:val="clear" w:color="auto" w:fill="FFFFFF"/>
          <w:vAlign w:val="center"/>
        </w:tcPr>
        <w:p w14:paraId="1F0D13D7" w14:textId="77777777" w:rsidR="00705422" w:rsidRPr="00550545" w:rsidRDefault="00705422" w:rsidP="00722C17">
          <w:pPr>
            <w:pStyle w:val="a4"/>
            <w:shd w:val="clear" w:color="auto" w:fill="auto"/>
            <w:spacing w:line="240" w:lineRule="auto"/>
            <w:rPr>
              <w:sz w:val="18"/>
              <w:szCs w:val="18"/>
              <w:lang w:val="en-US"/>
            </w:rPr>
          </w:pPr>
          <w:r w:rsidRPr="00550545">
            <w:rPr>
              <w:rFonts w:eastAsia="Lucida Sans Unicode"/>
              <w:color w:val="131413"/>
              <w:sz w:val="18"/>
              <w:szCs w:val="18"/>
              <w:lang w:val="en-US" w:bidi="ru-RU"/>
            </w:rPr>
            <w:t xml:space="preserve">Wu </w:t>
          </w:r>
          <w:r w:rsidRPr="00550545">
            <w:rPr>
              <w:i/>
              <w:color w:val="131413"/>
              <w:sz w:val="18"/>
              <w:szCs w:val="18"/>
              <w:lang w:bidi="ru-RU"/>
            </w:rPr>
            <w:t>и</w:t>
          </w:r>
          <w:r w:rsidRPr="00550545">
            <w:rPr>
              <w:i/>
              <w:color w:val="131413"/>
              <w:sz w:val="18"/>
              <w:szCs w:val="18"/>
              <w:lang w:val="en-US" w:bidi="ru-RU"/>
            </w:rPr>
            <w:t xml:space="preserve"> </w:t>
          </w:r>
          <w:r w:rsidRPr="00550545">
            <w:rPr>
              <w:i/>
              <w:color w:val="131413"/>
              <w:sz w:val="18"/>
              <w:szCs w:val="18"/>
              <w:lang w:bidi="ru-RU"/>
            </w:rPr>
            <w:t>соавт</w:t>
          </w:r>
          <w:r w:rsidRPr="00550545">
            <w:rPr>
              <w:i/>
              <w:color w:val="131413"/>
              <w:sz w:val="18"/>
              <w:szCs w:val="18"/>
              <w:lang w:val="en-US" w:bidi="ru-RU"/>
            </w:rPr>
            <w:t xml:space="preserve">. Nutrition Journal </w:t>
          </w:r>
          <w:r w:rsidRPr="00550545">
            <w:rPr>
              <w:rFonts w:eastAsia="Lucida Sans Unicode"/>
              <w:color w:val="131413"/>
              <w:sz w:val="18"/>
              <w:szCs w:val="18"/>
              <w:lang w:val="en-US" w:bidi="ru-RU"/>
            </w:rPr>
            <w:t>(2017) 16:60</w:t>
          </w:r>
        </w:p>
        <w:p w14:paraId="1F0D13D8" w14:textId="77777777" w:rsidR="00705422" w:rsidRPr="00722C17" w:rsidRDefault="00705422" w:rsidP="00722C17">
          <w:pPr>
            <w:pStyle w:val="a4"/>
            <w:shd w:val="clear" w:color="auto" w:fill="auto"/>
            <w:spacing w:line="240" w:lineRule="auto"/>
            <w:rPr>
              <w:sz w:val="14"/>
              <w:szCs w:val="14"/>
            </w:rPr>
          </w:pPr>
          <w:r w:rsidRPr="00550545">
            <w:rPr>
              <w:rFonts w:eastAsia="Lucida Sans Unicode"/>
              <w:color w:val="131413"/>
              <w:sz w:val="18"/>
              <w:szCs w:val="18"/>
              <w:lang w:bidi="ru-RU"/>
            </w:rPr>
            <w:t>DOI 10.1186/s12937-017-0280-3</w:t>
          </w:r>
        </w:p>
      </w:tc>
      <w:tc>
        <w:tcPr>
          <w:tcW w:w="2331" w:type="pct"/>
          <w:shd w:val="clear" w:color="auto" w:fill="FFFFFF"/>
          <w:vAlign w:val="center"/>
        </w:tcPr>
        <w:p w14:paraId="1F0D13D9" w14:textId="77777777" w:rsidR="00705422" w:rsidRPr="00550545" w:rsidRDefault="00705422" w:rsidP="00722C17">
          <w:pPr>
            <w:pStyle w:val="a4"/>
            <w:shd w:val="clear" w:color="auto" w:fill="auto"/>
            <w:spacing w:line="240" w:lineRule="auto"/>
            <w:jc w:val="right"/>
            <w:rPr>
              <w:sz w:val="40"/>
              <w:szCs w:val="40"/>
            </w:rPr>
          </w:pPr>
          <w:r w:rsidRPr="00550545">
            <w:rPr>
              <w:color w:val="312D2A"/>
              <w:sz w:val="40"/>
              <w:szCs w:val="40"/>
              <w:lang w:bidi="ru-RU"/>
            </w:rPr>
            <w:t>Nutrition JournaI</w:t>
          </w:r>
        </w:p>
      </w:tc>
    </w:tr>
  </w:tbl>
  <w:p w14:paraId="1F0D13DB" w14:textId="77777777" w:rsidR="00705422" w:rsidRDefault="00705422">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8B77" w14:textId="77777777" w:rsidR="006405BE" w:rsidRDefault="006405B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341"/>
      <w:gridCol w:w="4665"/>
    </w:tblGrid>
    <w:tr w:rsidR="00705422" w:rsidRPr="0069279C" w14:paraId="1F0D13DE" w14:textId="77777777" w:rsidTr="00722C17">
      <w:trPr>
        <w:trHeight w:val="340"/>
      </w:trPr>
      <w:tc>
        <w:tcPr>
          <w:tcW w:w="2669" w:type="pct"/>
          <w:shd w:val="clear" w:color="auto" w:fill="FFFFFF"/>
          <w:vAlign w:val="center"/>
        </w:tcPr>
        <w:p w14:paraId="1F0D13DC" w14:textId="77777777" w:rsidR="00705422" w:rsidRPr="00D73B96" w:rsidRDefault="00705422" w:rsidP="00722C17">
          <w:pPr>
            <w:pStyle w:val="a4"/>
            <w:shd w:val="clear" w:color="auto" w:fill="auto"/>
            <w:spacing w:line="240" w:lineRule="auto"/>
            <w:rPr>
              <w:sz w:val="18"/>
              <w:szCs w:val="18"/>
              <w:lang w:val="en-US"/>
            </w:rPr>
          </w:pPr>
          <w:r w:rsidRPr="00D73B96">
            <w:rPr>
              <w:rFonts w:eastAsia="Lucida Sans Unicode"/>
              <w:color w:val="131413"/>
              <w:sz w:val="18"/>
              <w:szCs w:val="18"/>
              <w:lang w:val="en-US" w:bidi="ru-RU"/>
            </w:rPr>
            <w:t xml:space="preserve">Wu </w:t>
          </w:r>
          <w:r w:rsidRPr="00D73B96">
            <w:rPr>
              <w:i/>
              <w:color w:val="131413"/>
              <w:sz w:val="18"/>
              <w:szCs w:val="18"/>
              <w:lang w:bidi="ru-RU"/>
            </w:rPr>
            <w:t>и</w:t>
          </w:r>
          <w:r w:rsidRPr="00D73B96">
            <w:rPr>
              <w:i/>
              <w:color w:val="131413"/>
              <w:sz w:val="18"/>
              <w:szCs w:val="18"/>
              <w:lang w:val="en-US" w:bidi="ru-RU"/>
            </w:rPr>
            <w:t xml:space="preserve"> </w:t>
          </w:r>
          <w:r w:rsidRPr="00D73B96">
            <w:rPr>
              <w:i/>
              <w:color w:val="131413"/>
              <w:sz w:val="18"/>
              <w:szCs w:val="18"/>
              <w:lang w:bidi="ru-RU"/>
            </w:rPr>
            <w:t>соавт</w:t>
          </w:r>
          <w:r w:rsidRPr="00D73B96">
            <w:rPr>
              <w:i/>
              <w:color w:val="131413"/>
              <w:sz w:val="18"/>
              <w:szCs w:val="18"/>
              <w:lang w:val="en-US" w:bidi="ru-RU"/>
            </w:rPr>
            <w:t xml:space="preserve">. Nutrition Journal </w:t>
          </w:r>
          <w:r w:rsidRPr="00D73B96">
            <w:rPr>
              <w:rFonts w:eastAsia="Lucida Sans Unicode"/>
              <w:color w:val="131413"/>
              <w:sz w:val="18"/>
              <w:szCs w:val="18"/>
              <w:lang w:val="en-US" w:bidi="ru-RU"/>
            </w:rPr>
            <w:t>(2017) 16:60</w:t>
          </w:r>
        </w:p>
      </w:tc>
      <w:tc>
        <w:tcPr>
          <w:tcW w:w="2331" w:type="pct"/>
          <w:shd w:val="clear" w:color="auto" w:fill="FFFFFF"/>
          <w:vAlign w:val="center"/>
        </w:tcPr>
        <w:p w14:paraId="1F0D13DD" w14:textId="183A238A" w:rsidR="00705422" w:rsidRPr="0069279C" w:rsidRDefault="00705422" w:rsidP="00722C17">
          <w:pPr>
            <w:pStyle w:val="a4"/>
            <w:shd w:val="clear" w:color="auto" w:fill="auto"/>
            <w:spacing w:line="240" w:lineRule="auto"/>
            <w:jc w:val="right"/>
            <w:rPr>
              <w:rFonts w:cs="Times New Roman"/>
              <w:sz w:val="18"/>
              <w:szCs w:val="18"/>
            </w:rPr>
          </w:pPr>
          <w:r w:rsidRPr="0069279C">
            <w:rPr>
              <w:rFonts w:eastAsia="DppwqsAdvTTe45e47d2" w:cs="Times New Roman"/>
              <w:color w:val="131413"/>
              <w:sz w:val="18"/>
              <w:szCs w:val="18"/>
              <w:lang w:bidi="ru-RU"/>
            </w:rPr>
            <w:t xml:space="preserve">Страница </w:t>
          </w:r>
          <w:r w:rsidRPr="0069279C">
            <w:rPr>
              <w:rFonts w:eastAsia="DppwqsAdvTTe45e47d2" w:cs="Times New Roman"/>
              <w:color w:val="131413"/>
              <w:sz w:val="18"/>
              <w:szCs w:val="18"/>
              <w:lang w:bidi="ru-RU"/>
            </w:rPr>
            <w:fldChar w:fldCharType="begin"/>
          </w:r>
          <w:r w:rsidRPr="0069279C">
            <w:rPr>
              <w:rFonts w:eastAsia="DppwqsAdvTTe45e47d2" w:cs="Times New Roman"/>
              <w:color w:val="131413"/>
              <w:sz w:val="18"/>
              <w:szCs w:val="18"/>
              <w:lang w:bidi="ru-RU"/>
            </w:rPr>
            <w:instrText>PAGE   \* MERGEFORMAT</w:instrText>
          </w:r>
          <w:r w:rsidRPr="0069279C">
            <w:rPr>
              <w:rFonts w:eastAsia="DppwqsAdvTTe45e47d2" w:cs="Times New Roman"/>
              <w:color w:val="131413"/>
              <w:sz w:val="18"/>
              <w:szCs w:val="18"/>
              <w:lang w:bidi="ru-RU"/>
            </w:rPr>
            <w:fldChar w:fldCharType="separate"/>
          </w:r>
          <w:r w:rsidR="006A64C6">
            <w:rPr>
              <w:rFonts w:eastAsia="DppwqsAdvTTe45e47d2" w:cs="Times New Roman"/>
              <w:noProof/>
              <w:color w:val="131413"/>
              <w:sz w:val="18"/>
              <w:szCs w:val="18"/>
              <w:lang w:bidi="ru-RU"/>
            </w:rPr>
            <w:t>5</w:t>
          </w:r>
          <w:r w:rsidRPr="0069279C">
            <w:rPr>
              <w:rFonts w:eastAsia="DppwqsAdvTTe45e47d2" w:cs="Times New Roman"/>
              <w:color w:val="131413"/>
              <w:sz w:val="18"/>
              <w:szCs w:val="18"/>
              <w:lang w:bidi="ru-RU"/>
            </w:rPr>
            <w:fldChar w:fldCharType="end"/>
          </w:r>
          <w:r w:rsidRPr="0069279C">
            <w:rPr>
              <w:rFonts w:eastAsia="DppwqsAdvTTe45e47d2" w:cs="Times New Roman"/>
              <w:color w:val="131413"/>
              <w:sz w:val="18"/>
              <w:szCs w:val="18"/>
              <w:lang w:bidi="ru-RU"/>
            </w:rPr>
            <w:t xml:space="preserve"> из </w:t>
          </w:r>
          <w:r w:rsidR="00E21A5B" w:rsidRPr="0069279C">
            <w:rPr>
              <w:rFonts w:eastAsia="DppwqsAdvTTe45e47d2" w:cs="Times New Roman"/>
              <w:color w:val="131413"/>
              <w:sz w:val="18"/>
              <w:szCs w:val="18"/>
              <w:lang w:bidi="ru-RU"/>
            </w:rPr>
            <w:fldChar w:fldCharType="begin"/>
          </w:r>
          <w:r w:rsidR="00E21A5B" w:rsidRPr="0069279C">
            <w:rPr>
              <w:rFonts w:eastAsia="DppwqsAdvTTe45e47d2" w:cs="Times New Roman"/>
              <w:color w:val="131413"/>
              <w:sz w:val="18"/>
              <w:szCs w:val="18"/>
              <w:lang w:bidi="ru-RU"/>
            </w:rPr>
            <w:instrText xml:space="preserve"> NUMPAGES  \* Arabic  \* MERGEFORMAT </w:instrText>
          </w:r>
          <w:r w:rsidR="00E21A5B" w:rsidRPr="0069279C">
            <w:rPr>
              <w:rFonts w:eastAsia="DppwqsAdvTTe45e47d2" w:cs="Times New Roman"/>
              <w:color w:val="131413"/>
              <w:sz w:val="18"/>
              <w:szCs w:val="18"/>
              <w:lang w:bidi="ru-RU"/>
            </w:rPr>
            <w:fldChar w:fldCharType="separate"/>
          </w:r>
          <w:r w:rsidR="006A64C6">
            <w:rPr>
              <w:rFonts w:eastAsia="DppwqsAdvTTe45e47d2" w:cs="Times New Roman"/>
              <w:noProof/>
              <w:color w:val="131413"/>
              <w:sz w:val="18"/>
              <w:szCs w:val="18"/>
              <w:lang w:bidi="ru-RU"/>
            </w:rPr>
            <w:t>15</w:t>
          </w:r>
          <w:r w:rsidR="00E21A5B" w:rsidRPr="0069279C">
            <w:rPr>
              <w:rFonts w:eastAsia="DppwqsAdvTTe45e47d2" w:cs="Times New Roman"/>
              <w:color w:val="131413"/>
              <w:sz w:val="18"/>
              <w:szCs w:val="18"/>
              <w:lang w:bidi="ru-RU"/>
            </w:rPr>
            <w:fldChar w:fldCharType="end"/>
          </w:r>
        </w:p>
      </w:tc>
    </w:tr>
  </w:tbl>
  <w:p w14:paraId="1F0D13DF" w14:textId="77777777" w:rsidR="00705422" w:rsidRDefault="00705422">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8096"/>
      <w:gridCol w:w="7070"/>
    </w:tblGrid>
    <w:tr w:rsidR="00705422" w:rsidRPr="0069279C" w14:paraId="1F0D13E2" w14:textId="77777777" w:rsidTr="00722C17">
      <w:trPr>
        <w:trHeight w:val="340"/>
      </w:trPr>
      <w:tc>
        <w:tcPr>
          <w:tcW w:w="2669" w:type="pct"/>
          <w:shd w:val="clear" w:color="auto" w:fill="FFFFFF"/>
          <w:vAlign w:val="center"/>
        </w:tcPr>
        <w:p w14:paraId="1F0D13E0" w14:textId="77777777" w:rsidR="00705422" w:rsidRPr="00B63AC3" w:rsidRDefault="00705422" w:rsidP="00722C17">
          <w:pPr>
            <w:pStyle w:val="a4"/>
            <w:shd w:val="clear" w:color="auto" w:fill="auto"/>
            <w:spacing w:line="240" w:lineRule="auto"/>
            <w:rPr>
              <w:sz w:val="18"/>
              <w:szCs w:val="18"/>
              <w:lang w:val="en-US"/>
            </w:rPr>
          </w:pPr>
          <w:r w:rsidRPr="00B63AC3">
            <w:rPr>
              <w:rFonts w:eastAsia="Lucida Sans Unicode"/>
              <w:color w:val="131413"/>
              <w:sz w:val="18"/>
              <w:szCs w:val="18"/>
              <w:lang w:val="en-US" w:bidi="ru-RU"/>
            </w:rPr>
            <w:t xml:space="preserve">Wu </w:t>
          </w:r>
          <w:r w:rsidRPr="00B63AC3">
            <w:rPr>
              <w:i/>
              <w:color w:val="131413"/>
              <w:sz w:val="18"/>
              <w:szCs w:val="18"/>
              <w:lang w:bidi="ru-RU"/>
            </w:rPr>
            <w:t>и</w:t>
          </w:r>
          <w:r w:rsidRPr="00B63AC3">
            <w:rPr>
              <w:i/>
              <w:color w:val="131413"/>
              <w:sz w:val="18"/>
              <w:szCs w:val="18"/>
              <w:lang w:val="en-US" w:bidi="ru-RU"/>
            </w:rPr>
            <w:t xml:space="preserve"> </w:t>
          </w:r>
          <w:r w:rsidRPr="00B63AC3">
            <w:rPr>
              <w:i/>
              <w:color w:val="131413"/>
              <w:sz w:val="18"/>
              <w:szCs w:val="18"/>
              <w:lang w:bidi="ru-RU"/>
            </w:rPr>
            <w:t>соавт</w:t>
          </w:r>
          <w:r w:rsidRPr="00B63AC3">
            <w:rPr>
              <w:i/>
              <w:color w:val="131413"/>
              <w:sz w:val="18"/>
              <w:szCs w:val="18"/>
              <w:lang w:val="en-US" w:bidi="ru-RU"/>
            </w:rPr>
            <w:t xml:space="preserve">. Nutrition Journal </w:t>
          </w:r>
          <w:r w:rsidRPr="00B63AC3">
            <w:rPr>
              <w:rFonts w:eastAsia="Lucida Sans Unicode"/>
              <w:color w:val="131413"/>
              <w:sz w:val="18"/>
              <w:szCs w:val="18"/>
              <w:lang w:val="en-US" w:bidi="ru-RU"/>
            </w:rPr>
            <w:t>(2017) 16:60</w:t>
          </w:r>
        </w:p>
      </w:tc>
      <w:tc>
        <w:tcPr>
          <w:tcW w:w="2331" w:type="pct"/>
          <w:shd w:val="clear" w:color="auto" w:fill="FFFFFF"/>
          <w:vAlign w:val="center"/>
        </w:tcPr>
        <w:p w14:paraId="1F0D13E1" w14:textId="77777777" w:rsidR="00705422" w:rsidRPr="0069279C" w:rsidRDefault="00705422" w:rsidP="00722C17">
          <w:pPr>
            <w:pStyle w:val="a4"/>
            <w:shd w:val="clear" w:color="auto" w:fill="auto"/>
            <w:spacing w:line="240" w:lineRule="auto"/>
            <w:jc w:val="right"/>
            <w:rPr>
              <w:rFonts w:cs="Times New Roman"/>
              <w:sz w:val="18"/>
              <w:szCs w:val="18"/>
            </w:rPr>
          </w:pPr>
          <w:r w:rsidRPr="0069279C">
            <w:rPr>
              <w:rFonts w:eastAsia="DppwqsAdvTTe45e47d2" w:cs="Times New Roman"/>
              <w:color w:val="131413"/>
              <w:sz w:val="18"/>
              <w:szCs w:val="18"/>
              <w:lang w:bidi="ru-RU"/>
            </w:rPr>
            <w:t xml:space="preserve">Страница </w:t>
          </w:r>
          <w:r w:rsidRPr="0069279C">
            <w:rPr>
              <w:rFonts w:eastAsia="DppwqsAdvTTe45e47d2" w:cs="Times New Roman"/>
              <w:color w:val="131413"/>
              <w:sz w:val="18"/>
              <w:szCs w:val="18"/>
              <w:lang w:bidi="ru-RU"/>
            </w:rPr>
            <w:fldChar w:fldCharType="begin"/>
          </w:r>
          <w:r w:rsidRPr="0069279C">
            <w:rPr>
              <w:rFonts w:eastAsia="DppwqsAdvTTe45e47d2" w:cs="Times New Roman"/>
              <w:color w:val="131413"/>
              <w:sz w:val="18"/>
              <w:szCs w:val="18"/>
              <w:lang w:bidi="ru-RU"/>
            </w:rPr>
            <w:instrText>PAGE   \* MERGEFORMAT</w:instrText>
          </w:r>
          <w:r w:rsidRPr="0069279C">
            <w:rPr>
              <w:rFonts w:eastAsia="DppwqsAdvTTe45e47d2" w:cs="Times New Roman"/>
              <w:color w:val="131413"/>
              <w:sz w:val="18"/>
              <w:szCs w:val="18"/>
              <w:lang w:bidi="ru-RU"/>
            </w:rPr>
            <w:fldChar w:fldCharType="separate"/>
          </w:r>
          <w:r w:rsidR="006A64C6">
            <w:rPr>
              <w:rFonts w:eastAsia="DppwqsAdvTTe45e47d2" w:cs="Times New Roman"/>
              <w:noProof/>
              <w:color w:val="131413"/>
              <w:sz w:val="18"/>
              <w:szCs w:val="18"/>
              <w:lang w:bidi="ru-RU"/>
            </w:rPr>
            <w:t>8</w:t>
          </w:r>
          <w:r w:rsidRPr="0069279C">
            <w:rPr>
              <w:rFonts w:eastAsia="DppwqsAdvTTe45e47d2" w:cs="Times New Roman"/>
              <w:color w:val="131413"/>
              <w:sz w:val="18"/>
              <w:szCs w:val="18"/>
              <w:lang w:bidi="ru-RU"/>
            </w:rPr>
            <w:fldChar w:fldCharType="end"/>
          </w:r>
          <w:r w:rsidRPr="0069279C">
            <w:rPr>
              <w:rFonts w:eastAsia="DppwqsAdvTTe45e47d2" w:cs="Times New Roman"/>
              <w:color w:val="131413"/>
              <w:sz w:val="18"/>
              <w:szCs w:val="18"/>
              <w:lang w:bidi="ru-RU"/>
            </w:rPr>
            <w:t xml:space="preserve"> из 13</w:t>
          </w:r>
        </w:p>
      </w:tc>
    </w:tr>
  </w:tbl>
  <w:p w14:paraId="1F0D13E3" w14:textId="77777777" w:rsidR="00705422" w:rsidRDefault="00705422">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Overlap w:val="never"/>
      <w:tblW w:w="5000" w:type="pct"/>
      <w:tblCellMar>
        <w:top w:w="17" w:type="dxa"/>
        <w:left w:w="17" w:type="dxa"/>
        <w:bottom w:w="17" w:type="dxa"/>
        <w:right w:w="17" w:type="dxa"/>
      </w:tblCellMar>
      <w:tblLook w:val="0000" w:firstRow="0" w:lastRow="0" w:firstColumn="0" w:lastColumn="0" w:noHBand="0" w:noVBand="0"/>
    </w:tblPr>
    <w:tblGrid>
      <w:gridCol w:w="5341"/>
      <w:gridCol w:w="4665"/>
    </w:tblGrid>
    <w:tr w:rsidR="00705422" w:rsidRPr="0069279C" w14:paraId="1F0D13E6" w14:textId="77777777" w:rsidTr="00722C17">
      <w:trPr>
        <w:trHeight w:val="340"/>
      </w:trPr>
      <w:tc>
        <w:tcPr>
          <w:tcW w:w="2669" w:type="pct"/>
          <w:shd w:val="clear" w:color="auto" w:fill="FFFFFF"/>
          <w:vAlign w:val="center"/>
        </w:tcPr>
        <w:p w14:paraId="1F0D13E4" w14:textId="77777777" w:rsidR="00705422" w:rsidRPr="00D8166B" w:rsidRDefault="00705422" w:rsidP="00722C17">
          <w:pPr>
            <w:pStyle w:val="a4"/>
            <w:shd w:val="clear" w:color="auto" w:fill="auto"/>
            <w:spacing w:line="240" w:lineRule="auto"/>
            <w:rPr>
              <w:sz w:val="18"/>
              <w:szCs w:val="18"/>
              <w:lang w:val="en-US"/>
            </w:rPr>
          </w:pPr>
          <w:r w:rsidRPr="00D8166B">
            <w:rPr>
              <w:rFonts w:eastAsia="Lucida Sans Unicode"/>
              <w:color w:val="131413"/>
              <w:sz w:val="18"/>
              <w:szCs w:val="18"/>
              <w:lang w:val="en-US" w:bidi="ru-RU"/>
            </w:rPr>
            <w:t xml:space="preserve">Wu </w:t>
          </w:r>
          <w:r w:rsidRPr="00D8166B">
            <w:rPr>
              <w:i/>
              <w:color w:val="131413"/>
              <w:sz w:val="18"/>
              <w:szCs w:val="18"/>
              <w:lang w:bidi="ru-RU"/>
            </w:rPr>
            <w:t>и</w:t>
          </w:r>
          <w:r w:rsidRPr="00D8166B">
            <w:rPr>
              <w:i/>
              <w:color w:val="131413"/>
              <w:sz w:val="18"/>
              <w:szCs w:val="18"/>
              <w:lang w:val="en-US" w:bidi="ru-RU"/>
            </w:rPr>
            <w:t xml:space="preserve"> </w:t>
          </w:r>
          <w:r w:rsidRPr="00D8166B">
            <w:rPr>
              <w:i/>
              <w:color w:val="131413"/>
              <w:sz w:val="18"/>
              <w:szCs w:val="18"/>
              <w:lang w:bidi="ru-RU"/>
            </w:rPr>
            <w:t>соавт</w:t>
          </w:r>
          <w:r w:rsidRPr="00D8166B">
            <w:rPr>
              <w:i/>
              <w:color w:val="131413"/>
              <w:sz w:val="18"/>
              <w:szCs w:val="18"/>
              <w:lang w:val="en-US" w:bidi="ru-RU"/>
            </w:rPr>
            <w:t xml:space="preserve">. Nutrition Journal </w:t>
          </w:r>
          <w:r w:rsidRPr="00D8166B">
            <w:rPr>
              <w:rFonts w:eastAsia="Lucida Sans Unicode"/>
              <w:color w:val="131413"/>
              <w:sz w:val="18"/>
              <w:szCs w:val="18"/>
              <w:lang w:val="en-US" w:bidi="ru-RU"/>
            </w:rPr>
            <w:t>(2017) 16:60</w:t>
          </w:r>
        </w:p>
      </w:tc>
      <w:tc>
        <w:tcPr>
          <w:tcW w:w="2331" w:type="pct"/>
          <w:shd w:val="clear" w:color="auto" w:fill="FFFFFF"/>
          <w:vAlign w:val="center"/>
        </w:tcPr>
        <w:p w14:paraId="1F0D13E5" w14:textId="77777777" w:rsidR="00705422" w:rsidRPr="0069279C" w:rsidRDefault="00705422" w:rsidP="00722C17">
          <w:pPr>
            <w:pStyle w:val="a4"/>
            <w:shd w:val="clear" w:color="auto" w:fill="auto"/>
            <w:spacing w:line="240" w:lineRule="auto"/>
            <w:jc w:val="right"/>
            <w:rPr>
              <w:rFonts w:cs="Times New Roman"/>
              <w:sz w:val="18"/>
              <w:szCs w:val="18"/>
            </w:rPr>
          </w:pPr>
          <w:r w:rsidRPr="0069279C">
            <w:rPr>
              <w:rFonts w:eastAsia="DppwqsAdvTTe45e47d2" w:cs="Times New Roman"/>
              <w:color w:val="131413"/>
              <w:sz w:val="18"/>
              <w:szCs w:val="18"/>
              <w:lang w:bidi="ru-RU"/>
            </w:rPr>
            <w:t xml:space="preserve">Страница </w:t>
          </w:r>
          <w:r w:rsidRPr="0069279C">
            <w:rPr>
              <w:rFonts w:eastAsia="DppwqsAdvTTe45e47d2" w:cs="Times New Roman"/>
              <w:color w:val="131413"/>
              <w:sz w:val="18"/>
              <w:szCs w:val="18"/>
              <w:lang w:bidi="ru-RU"/>
            </w:rPr>
            <w:fldChar w:fldCharType="begin"/>
          </w:r>
          <w:r w:rsidRPr="0069279C">
            <w:rPr>
              <w:rFonts w:eastAsia="DppwqsAdvTTe45e47d2" w:cs="Times New Roman"/>
              <w:color w:val="131413"/>
              <w:sz w:val="18"/>
              <w:szCs w:val="18"/>
              <w:lang w:bidi="ru-RU"/>
            </w:rPr>
            <w:instrText>PAGE   \* MERGEFORMAT</w:instrText>
          </w:r>
          <w:r w:rsidRPr="0069279C">
            <w:rPr>
              <w:rFonts w:eastAsia="DppwqsAdvTTe45e47d2" w:cs="Times New Roman"/>
              <w:color w:val="131413"/>
              <w:sz w:val="18"/>
              <w:szCs w:val="18"/>
              <w:lang w:bidi="ru-RU"/>
            </w:rPr>
            <w:fldChar w:fldCharType="separate"/>
          </w:r>
          <w:r w:rsidR="006A64C6">
            <w:rPr>
              <w:rFonts w:eastAsia="DppwqsAdvTTe45e47d2" w:cs="Times New Roman"/>
              <w:noProof/>
              <w:color w:val="131413"/>
              <w:sz w:val="18"/>
              <w:szCs w:val="18"/>
              <w:lang w:bidi="ru-RU"/>
            </w:rPr>
            <w:t>14</w:t>
          </w:r>
          <w:r w:rsidRPr="0069279C">
            <w:rPr>
              <w:rFonts w:eastAsia="DppwqsAdvTTe45e47d2" w:cs="Times New Roman"/>
              <w:color w:val="131413"/>
              <w:sz w:val="18"/>
              <w:szCs w:val="18"/>
              <w:lang w:bidi="ru-RU"/>
            </w:rPr>
            <w:fldChar w:fldCharType="end"/>
          </w:r>
          <w:r w:rsidRPr="0069279C">
            <w:rPr>
              <w:rFonts w:eastAsia="DppwqsAdvTTe45e47d2" w:cs="Times New Roman"/>
              <w:color w:val="131413"/>
              <w:sz w:val="18"/>
              <w:szCs w:val="18"/>
              <w:lang w:bidi="ru-RU"/>
            </w:rPr>
            <w:t xml:space="preserve"> из 13</w:t>
          </w:r>
        </w:p>
      </w:tc>
    </w:tr>
  </w:tbl>
  <w:p w14:paraId="1F0D13E7" w14:textId="77777777" w:rsidR="00705422" w:rsidRDefault="0070542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F2D55"/>
    <w:multiLevelType w:val="multilevel"/>
    <w:tmpl w:val="99781B40"/>
    <w:lvl w:ilvl="0">
      <w:start w:val="1"/>
      <w:numFmt w:val="decimal"/>
      <w:lvlText w:val="%1."/>
      <w:lvlJc w:val="left"/>
      <w:rPr>
        <w:rFonts w:ascii="Lucida Sans Unicode" w:eastAsia="Lucida Sans Unicode" w:hAnsi="Lucida Sans Unicode" w:cs="Lucida Sans Unicode"/>
        <w:b w:val="0"/>
        <w:bCs w:val="0"/>
        <w:i w:val="0"/>
        <w:iCs w:val="0"/>
        <w:smallCaps w:val="0"/>
        <w:strike w:val="0"/>
        <w:color w:val="131413"/>
        <w:spacing w:val="0"/>
        <w:w w:val="100"/>
        <w:position w:val="0"/>
        <w:sz w:val="11"/>
        <w:szCs w:val="11"/>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5D13AC"/>
    <w:multiLevelType w:val="multilevel"/>
    <w:tmpl w:val="AF9C8BC4"/>
    <w:lvl w:ilvl="0">
      <w:start w:val="43"/>
      <w:numFmt w:val="decimal"/>
      <w:lvlText w:val="1.%1)"/>
      <w:lvlJc w:val="left"/>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00A2640"/>
    <w:multiLevelType w:val="hybridMultilevel"/>
    <w:tmpl w:val="5F467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3B03AE"/>
    <w:multiLevelType w:val="multilevel"/>
    <w:tmpl w:val="A6ACB1DE"/>
    <w:lvl w:ilvl="0">
      <w:start w:val="43"/>
      <w:numFmt w:val="decimal"/>
      <w:lvlText w:val="1.%1)"/>
      <w:lvlJc w:val="left"/>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49633B"/>
    <w:multiLevelType w:val="multilevel"/>
    <w:tmpl w:val="39EEC92C"/>
    <w:lvl w:ilvl="0">
      <w:start w:val="1"/>
      <w:numFmt w:val="bullet"/>
      <w:lvlText w:val="&lt;"/>
      <w:lvlJc w:val="left"/>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390B38"/>
    <w:multiLevelType w:val="multilevel"/>
    <w:tmpl w:val="12D019B4"/>
    <w:lvl w:ilvl="0">
      <w:start w:val="3"/>
      <w:numFmt w:val="decimal"/>
      <w:lvlText w:val="%1"/>
      <w:lvlJc w:val="left"/>
      <w:rPr>
        <w:rFonts w:ascii="Times New Roman" w:eastAsia="Times New Roman" w:hAnsi="Times New Roman" w:cs="Times New Roman"/>
        <w:b w:val="0"/>
        <w:bCs w:val="0"/>
        <w:i w:val="0"/>
        <w:iCs w:val="0"/>
        <w:smallCaps w:val="0"/>
        <w:strike w:val="0"/>
        <w:color w:val="131413"/>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CC170E2"/>
    <w:multiLevelType w:val="multilevel"/>
    <w:tmpl w:val="BFF0D150"/>
    <w:lvl w:ilvl="0">
      <w:start w:val="1"/>
      <w:numFmt w:val="bullet"/>
      <w:lvlText w:val="•"/>
      <w:lvlJc w:val="left"/>
      <w:rPr>
        <w:rFonts w:ascii="Arial" w:eastAsia="Arial" w:hAnsi="Arial" w:cs="Arial"/>
        <w:b/>
        <w:bCs/>
        <w:i w:val="0"/>
        <w:iCs w:val="0"/>
        <w:smallCaps w:val="0"/>
        <w:strike w:val="0"/>
        <w:color w:val="131413"/>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1"/>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hideSpellingErrors/>
  <w:hideGrammatical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7D8"/>
    <w:rsid w:val="00041626"/>
    <w:rsid w:val="00074A29"/>
    <w:rsid w:val="000F6DB1"/>
    <w:rsid w:val="001168D9"/>
    <w:rsid w:val="00116FC7"/>
    <w:rsid w:val="001410A2"/>
    <w:rsid w:val="002458BD"/>
    <w:rsid w:val="002839DF"/>
    <w:rsid w:val="00367D06"/>
    <w:rsid w:val="00386C5C"/>
    <w:rsid w:val="0039535B"/>
    <w:rsid w:val="00425A63"/>
    <w:rsid w:val="004577D8"/>
    <w:rsid w:val="004E6760"/>
    <w:rsid w:val="005067E7"/>
    <w:rsid w:val="00511EB2"/>
    <w:rsid w:val="00550545"/>
    <w:rsid w:val="005A517F"/>
    <w:rsid w:val="005E2D5C"/>
    <w:rsid w:val="006248EB"/>
    <w:rsid w:val="006405BE"/>
    <w:rsid w:val="00650589"/>
    <w:rsid w:val="00665BC1"/>
    <w:rsid w:val="0069279C"/>
    <w:rsid w:val="006A64C6"/>
    <w:rsid w:val="006B75BF"/>
    <w:rsid w:val="00705422"/>
    <w:rsid w:val="00712F2F"/>
    <w:rsid w:val="00722C17"/>
    <w:rsid w:val="0074102F"/>
    <w:rsid w:val="00744C2D"/>
    <w:rsid w:val="00765DDD"/>
    <w:rsid w:val="00793AE7"/>
    <w:rsid w:val="00805641"/>
    <w:rsid w:val="00805A91"/>
    <w:rsid w:val="008D60FF"/>
    <w:rsid w:val="008F193C"/>
    <w:rsid w:val="00966C57"/>
    <w:rsid w:val="00971A85"/>
    <w:rsid w:val="0099078F"/>
    <w:rsid w:val="009A57EC"/>
    <w:rsid w:val="00AF4913"/>
    <w:rsid w:val="00B4476D"/>
    <w:rsid w:val="00B45667"/>
    <w:rsid w:val="00B63AC3"/>
    <w:rsid w:val="00B667F4"/>
    <w:rsid w:val="00B6756D"/>
    <w:rsid w:val="00B84D9A"/>
    <w:rsid w:val="00BC1B9C"/>
    <w:rsid w:val="00C42ECE"/>
    <w:rsid w:val="00C536E1"/>
    <w:rsid w:val="00C8426D"/>
    <w:rsid w:val="00CA37A5"/>
    <w:rsid w:val="00D01C27"/>
    <w:rsid w:val="00D559C3"/>
    <w:rsid w:val="00D73B96"/>
    <w:rsid w:val="00D8166B"/>
    <w:rsid w:val="00DB61F9"/>
    <w:rsid w:val="00DE4D74"/>
    <w:rsid w:val="00E21A5B"/>
    <w:rsid w:val="00E271AD"/>
    <w:rsid w:val="00E55852"/>
    <w:rsid w:val="00E74E04"/>
    <w:rsid w:val="00EF675A"/>
    <w:rsid w:val="00FD30B7"/>
    <w:rsid w:val="00FE2ED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ru-RU"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67D06"/>
    <w:rPr>
      <w:rFonts w:ascii="Times New Roman" w:hAnsi="Times New Roman"/>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b w:val="0"/>
      <w:bCs w:val="0"/>
      <w:i w:val="0"/>
      <w:iCs w:val="0"/>
      <w:smallCaps w:val="0"/>
      <w:strike w:val="0"/>
      <w:sz w:val="13"/>
      <w:szCs w:val="13"/>
      <w:u w:val="none"/>
    </w:rPr>
  </w:style>
  <w:style w:type="character" w:customStyle="1" w:styleId="a5">
    <w:name w:val="Подпись к таблице_"/>
    <w:basedOn w:val="a0"/>
    <w:link w:val="a6"/>
    <w:rPr>
      <w:rFonts w:ascii="Segoe UI" w:eastAsia="Segoe UI" w:hAnsi="Segoe UI" w:cs="Segoe UI"/>
      <w:b w:val="0"/>
      <w:bCs w:val="0"/>
      <w:i w:val="0"/>
      <w:iCs w:val="0"/>
      <w:smallCaps w:val="0"/>
      <w:strike w:val="0"/>
      <w:sz w:val="16"/>
      <w:szCs w:val="16"/>
      <w:u w:val="none"/>
    </w:rPr>
  </w:style>
  <w:style w:type="character" w:customStyle="1" w:styleId="3">
    <w:name w:val="Основной текст (3)_"/>
    <w:basedOn w:val="a0"/>
    <w:link w:val="30"/>
    <w:rPr>
      <w:rFonts w:ascii="Lucida Sans Unicode" w:eastAsia="Lucida Sans Unicode" w:hAnsi="Lucida Sans Unicode" w:cs="Lucida Sans Unicode"/>
      <w:b w:val="0"/>
      <w:bCs w:val="0"/>
      <w:i w:val="0"/>
      <w:iCs w:val="0"/>
      <w:smallCaps w:val="0"/>
      <w:strike w:val="0"/>
      <w:color w:val="131413"/>
      <w:sz w:val="11"/>
      <w:szCs w:val="11"/>
      <w:u w:val="none"/>
    </w:rPr>
  </w:style>
  <w:style w:type="character" w:customStyle="1" w:styleId="1">
    <w:name w:val="Заголовок №1_"/>
    <w:basedOn w:val="a0"/>
    <w:link w:val="10"/>
    <w:rsid w:val="004E6760"/>
    <w:rPr>
      <w:rFonts w:ascii="Times New Roman" w:eastAsia="Calibri" w:hAnsi="Times New Roman" w:cs="Times New Roman"/>
      <w:b/>
      <w:bCs/>
      <w:color w:val="131413"/>
      <w:lang w:bidi="ru-RU"/>
    </w:rPr>
  </w:style>
  <w:style w:type="character" w:customStyle="1" w:styleId="2">
    <w:name w:val="Основной текст (2)_"/>
    <w:basedOn w:val="a0"/>
    <w:link w:val="20"/>
    <w:rsid w:val="00367D06"/>
    <w:rPr>
      <w:rFonts w:ascii="Times New Roman" w:eastAsia="Times New Roman" w:hAnsi="Times New Roman" w:cs="Times New Roman"/>
      <w:color w:val="131413"/>
      <w:sz w:val="20"/>
      <w:szCs w:val="18"/>
      <w:shd w:val="clear" w:color="auto" w:fill="FFFFFF"/>
    </w:rPr>
  </w:style>
  <w:style w:type="character" w:customStyle="1" w:styleId="21">
    <w:name w:val="Заголовок №2_"/>
    <w:basedOn w:val="a0"/>
    <w:link w:val="22"/>
    <w:rsid w:val="00367D06"/>
    <w:rPr>
      <w:rFonts w:ascii="Times New Roman" w:hAnsi="Times New Roman" w:cs="Times New Roman"/>
      <w:b/>
      <w:color w:val="404040" w:themeColor="text1" w:themeTint="BF"/>
      <w:sz w:val="20"/>
      <w:szCs w:val="20"/>
      <w:lang w:bidi="ru-RU"/>
    </w:rPr>
  </w:style>
  <w:style w:type="character" w:customStyle="1" w:styleId="a7">
    <w:name w:val="Подпись к картинке_"/>
    <w:basedOn w:val="a0"/>
    <w:link w:val="a8"/>
    <w:rPr>
      <w:rFonts w:ascii="Times New Roman" w:eastAsia="Times New Roman" w:hAnsi="Times New Roman" w:cs="Times New Roman"/>
      <w:b w:val="0"/>
      <w:bCs w:val="0"/>
      <w:i w:val="0"/>
      <w:iCs w:val="0"/>
      <w:smallCaps w:val="0"/>
      <w:strike w:val="0"/>
      <w:color w:val="131413"/>
      <w:sz w:val="12"/>
      <w:szCs w:val="12"/>
      <w:u w:val="none"/>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b w:val="0"/>
      <w:bCs w:val="0"/>
      <w:i w:val="0"/>
      <w:iCs w:val="0"/>
      <w:smallCaps w:val="0"/>
      <w:strike w:val="0"/>
      <w:sz w:val="13"/>
      <w:szCs w:val="13"/>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color w:val="131413"/>
      <w:sz w:val="14"/>
      <w:szCs w:val="14"/>
      <w:u w:val="none"/>
    </w:rPr>
  </w:style>
  <w:style w:type="paragraph" w:customStyle="1" w:styleId="a4">
    <w:name w:val="Другое"/>
    <w:basedOn w:val="a"/>
    <w:link w:val="a3"/>
    <w:pPr>
      <w:shd w:val="clear" w:color="auto" w:fill="FFFFFF"/>
      <w:spacing w:line="276" w:lineRule="auto"/>
    </w:pPr>
    <w:rPr>
      <w:sz w:val="13"/>
      <w:szCs w:val="13"/>
    </w:rPr>
  </w:style>
  <w:style w:type="paragraph" w:customStyle="1" w:styleId="a6">
    <w:name w:val="Подпись к таблице"/>
    <w:basedOn w:val="a"/>
    <w:link w:val="a5"/>
    <w:pPr>
      <w:shd w:val="clear" w:color="auto" w:fill="FFFFFF"/>
    </w:pPr>
    <w:rPr>
      <w:rFonts w:ascii="Segoe UI" w:eastAsia="Segoe UI" w:hAnsi="Segoe UI" w:cs="Segoe UI"/>
      <w:sz w:val="16"/>
      <w:szCs w:val="16"/>
    </w:rPr>
  </w:style>
  <w:style w:type="paragraph" w:customStyle="1" w:styleId="30">
    <w:name w:val="Основной текст (3)"/>
    <w:basedOn w:val="a"/>
    <w:link w:val="3"/>
    <w:pPr>
      <w:shd w:val="clear" w:color="auto" w:fill="FFFFFF"/>
      <w:spacing w:line="257" w:lineRule="auto"/>
      <w:ind w:left="180"/>
    </w:pPr>
    <w:rPr>
      <w:rFonts w:ascii="Lucida Sans Unicode" w:eastAsia="Lucida Sans Unicode" w:hAnsi="Lucida Sans Unicode" w:cs="Lucida Sans Unicode"/>
      <w:color w:val="131413"/>
      <w:sz w:val="11"/>
      <w:szCs w:val="11"/>
    </w:rPr>
  </w:style>
  <w:style w:type="paragraph" w:customStyle="1" w:styleId="10">
    <w:name w:val="Заголовок №1"/>
    <w:basedOn w:val="a"/>
    <w:link w:val="1"/>
    <w:rsid w:val="004E6760"/>
    <w:pPr>
      <w:keepNext/>
      <w:keepLines/>
      <w:spacing w:before="120"/>
      <w:jc w:val="both"/>
      <w:outlineLvl w:val="0"/>
    </w:pPr>
    <w:rPr>
      <w:rFonts w:eastAsia="Calibri" w:cs="Times New Roman"/>
      <w:b/>
      <w:bCs/>
      <w:color w:val="131413"/>
      <w:sz w:val="24"/>
      <w:lang w:bidi="ru-RU"/>
    </w:rPr>
  </w:style>
  <w:style w:type="paragraph" w:customStyle="1" w:styleId="20">
    <w:name w:val="Основной текст (2)"/>
    <w:basedOn w:val="a"/>
    <w:link w:val="2"/>
    <w:rsid w:val="00367D06"/>
    <w:pPr>
      <w:shd w:val="clear" w:color="auto" w:fill="FFFFFF"/>
      <w:spacing w:line="276" w:lineRule="auto"/>
    </w:pPr>
    <w:rPr>
      <w:rFonts w:eastAsia="Times New Roman" w:cs="Times New Roman"/>
      <w:color w:val="131413"/>
      <w:sz w:val="20"/>
      <w:szCs w:val="18"/>
    </w:rPr>
  </w:style>
  <w:style w:type="paragraph" w:customStyle="1" w:styleId="22">
    <w:name w:val="Заголовок №2"/>
    <w:basedOn w:val="a"/>
    <w:link w:val="21"/>
    <w:rsid w:val="00367D06"/>
    <w:pPr>
      <w:keepNext/>
      <w:keepLines/>
      <w:spacing w:before="120" w:line="295" w:lineRule="auto"/>
      <w:jc w:val="both"/>
      <w:outlineLvl w:val="1"/>
    </w:pPr>
    <w:rPr>
      <w:rFonts w:cs="Times New Roman"/>
      <w:b/>
      <w:color w:val="404040" w:themeColor="text1" w:themeTint="BF"/>
      <w:sz w:val="20"/>
      <w:szCs w:val="20"/>
      <w:lang w:bidi="ru-RU"/>
    </w:rPr>
  </w:style>
  <w:style w:type="paragraph" w:customStyle="1" w:styleId="a8">
    <w:name w:val="Подпись к картинке"/>
    <w:basedOn w:val="a"/>
    <w:link w:val="a7"/>
    <w:pPr>
      <w:shd w:val="clear" w:color="auto" w:fill="FFFFFF"/>
      <w:spacing w:line="266" w:lineRule="auto"/>
    </w:pPr>
    <w:rPr>
      <w:rFonts w:eastAsia="Times New Roman" w:cs="Times New Roman"/>
      <w:color w:val="131413"/>
      <w:sz w:val="12"/>
      <w:szCs w:val="12"/>
    </w:rPr>
  </w:style>
  <w:style w:type="paragraph" w:customStyle="1" w:styleId="aa">
    <w:name w:val="Колонтитул"/>
    <w:basedOn w:val="a"/>
    <w:link w:val="a9"/>
    <w:pPr>
      <w:shd w:val="clear" w:color="auto" w:fill="FFFFFF"/>
    </w:pPr>
    <w:rPr>
      <w:rFonts w:eastAsia="Times New Roman" w:cs="Times New Roman"/>
      <w:sz w:val="20"/>
      <w:szCs w:val="20"/>
    </w:rPr>
  </w:style>
  <w:style w:type="paragraph" w:customStyle="1" w:styleId="40">
    <w:name w:val="Основной текст (4)"/>
    <w:basedOn w:val="a"/>
    <w:link w:val="4"/>
    <w:pPr>
      <w:shd w:val="clear" w:color="auto" w:fill="FFFFFF"/>
      <w:spacing w:line="276" w:lineRule="auto"/>
    </w:pPr>
    <w:rPr>
      <w:sz w:val="13"/>
      <w:szCs w:val="13"/>
    </w:rPr>
  </w:style>
  <w:style w:type="paragraph" w:customStyle="1" w:styleId="50">
    <w:name w:val="Основной текст (5)"/>
    <w:basedOn w:val="a"/>
    <w:link w:val="5"/>
    <w:pPr>
      <w:shd w:val="clear" w:color="auto" w:fill="FFFFFF"/>
      <w:spacing w:line="269" w:lineRule="auto"/>
    </w:pPr>
    <w:rPr>
      <w:rFonts w:eastAsia="Times New Roman" w:cs="Times New Roman"/>
      <w:b/>
      <w:bCs/>
      <w:color w:val="131413"/>
      <w:sz w:val="14"/>
      <w:szCs w:val="14"/>
    </w:rPr>
  </w:style>
  <w:style w:type="paragraph" w:styleId="ab">
    <w:name w:val="Balloon Text"/>
    <w:basedOn w:val="a"/>
    <w:link w:val="ac"/>
    <w:uiPriority w:val="99"/>
    <w:semiHidden/>
    <w:unhideWhenUsed/>
    <w:rsid w:val="00722C17"/>
    <w:rPr>
      <w:rFonts w:ascii="Tahoma" w:hAnsi="Tahoma" w:cs="Tahoma"/>
      <w:sz w:val="16"/>
      <w:szCs w:val="16"/>
    </w:rPr>
  </w:style>
  <w:style w:type="character" w:customStyle="1" w:styleId="ac">
    <w:name w:val="Текст выноски Знак"/>
    <w:basedOn w:val="a0"/>
    <w:link w:val="ab"/>
    <w:uiPriority w:val="99"/>
    <w:semiHidden/>
    <w:rsid w:val="00722C17"/>
    <w:rPr>
      <w:rFonts w:ascii="Tahoma" w:hAnsi="Tahoma" w:cs="Tahoma"/>
      <w:color w:val="000000"/>
      <w:sz w:val="16"/>
      <w:szCs w:val="16"/>
    </w:rPr>
  </w:style>
  <w:style w:type="paragraph" w:styleId="ad">
    <w:name w:val="header"/>
    <w:basedOn w:val="a"/>
    <w:link w:val="ae"/>
    <w:uiPriority w:val="99"/>
    <w:unhideWhenUsed/>
    <w:rsid w:val="00722C17"/>
    <w:pPr>
      <w:tabs>
        <w:tab w:val="center" w:pos="4677"/>
        <w:tab w:val="right" w:pos="9355"/>
      </w:tabs>
    </w:pPr>
  </w:style>
  <w:style w:type="character" w:customStyle="1" w:styleId="ae">
    <w:name w:val="Верхний колонтитул Знак"/>
    <w:basedOn w:val="a0"/>
    <w:link w:val="ad"/>
    <w:uiPriority w:val="99"/>
    <w:rsid w:val="00722C17"/>
    <w:rPr>
      <w:color w:val="000000"/>
    </w:rPr>
  </w:style>
  <w:style w:type="paragraph" w:styleId="af">
    <w:name w:val="footer"/>
    <w:basedOn w:val="a"/>
    <w:link w:val="af0"/>
    <w:uiPriority w:val="99"/>
    <w:unhideWhenUsed/>
    <w:rsid w:val="00722C17"/>
    <w:pPr>
      <w:tabs>
        <w:tab w:val="center" w:pos="4677"/>
        <w:tab w:val="right" w:pos="9355"/>
      </w:tabs>
    </w:pPr>
  </w:style>
  <w:style w:type="character" w:customStyle="1" w:styleId="af0">
    <w:name w:val="Нижний колонтитул Знак"/>
    <w:basedOn w:val="a0"/>
    <w:link w:val="af"/>
    <w:uiPriority w:val="99"/>
    <w:rsid w:val="00722C17"/>
    <w:rPr>
      <w:color w:val="000000"/>
    </w:rPr>
  </w:style>
  <w:style w:type="paragraph" w:styleId="af1">
    <w:name w:val="Normal (Web)"/>
    <w:basedOn w:val="a"/>
    <w:uiPriority w:val="99"/>
    <w:semiHidden/>
    <w:unhideWhenUsed/>
    <w:rsid w:val="00B84D9A"/>
    <w:pPr>
      <w:widowControl/>
      <w:spacing w:before="100" w:beforeAutospacing="1" w:after="100" w:afterAutospacing="1"/>
    </w:pPr>
    <w:rPr>
      <w:rFonts w:eastAsiaTheme="minorEastAsia" w:cs="Times New Roman"/>
      <w:color w:val="auto"/>
      <w:lang w:eastAsia="ru-RU" w:bidi="ar-SA"/>
    </w:rPr>
  </w:style>
  <w:style w:type="character" w:styleId="af2">
    <w:name w:val="Hyperlink"/>
    <w:basedOn w:val="a0"/>
    <w:uiPriority w:val="99"/>
    <w:semiHidden/>
    <w:unhideWhenUsed/>
    <w:rsid w:val="00B84D9A"/>
    <w:rPr>
      <w:color w:val="0000FF"/>
      <w:u w:val="single"/>
    </w:rPr>
  </w:style>
  <w:style w:type="table" w:styleId="af3">
    <w:name w:val="Table Grid"/>
    <w:basedOn w:val="a1"/>
    <w:uiPriority w:val="59"/>
    <w:rsid w:val="00B84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C8426D"/>
    <w:rPr>
      <w:color w:val="808080"/>
    </w:rPr>
  </w:style>
  <w:style w:type="paragraph" w:styleId="af5">
    <w:name w:val="footnote text"/>
    <w:basedOn w:val="a"/>
    <w:link w:val="af6"/>
    <w:uiPriority w:val="99"/>
    <w:semiHidden/>
    <w:unhideWhenUsed/>
    <w:rsid w:val="001168D9"/>
    <w:rPr>
      <w:sz w:val="20"/>
      <w:szCs w:val="20"/>
    </w:rPr>
  </w:style>
  <w:style w:type="character" w:customStyle="1" w:styleId="af6">
    <w:name w:val="Текст сноски Знак"/>
    <w:basedOn w:val="a0"/>
    <w:link w:val="af5"/>
    <w:uiPriority w:val="99"/>
    <w:semiHidden/>
    <w:rsid w:val="001168D9"/>
    <w:rPr>
      <w:color w:val="000000"/>
      <w:sz w:val="20"/>
      <w:szCs w:val="20"/>
    </w:rPr>
  </w:style>
  <w:style w:type="character" w:styleId="af7">
    <w:name w:val="footnote reference"/>
    <w:basedOn w:val="a0"/>
    <w:uiPriority w:val="99"/>
    <w:semiHidden/>
    <w:unhideWhenUsed/>
    <w:rsid w:val="001168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ru-RU"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67D06"/>
    <w:rPr>
      <w:rFonts w:ascii="Times New Roman" w:hAnsi="Times New Roman"/>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b w:val="0"/>
      <w:bCs w:val="0"/>
      <w:i w:val="0"/>
      <w:iCs w:val="0"/>
      <w:smallCaps w:val="0"/>
      <w:strike w:val="0"/>
      <w:sz w:val="13"/>
      <w:szCs w:val="13"/>
      <w:u w:val="none"/>
    </w:rPr>
  </w:style>
  <w:style w:type="character" w:customStyle="1" w:styleId="a5">
    <w:name w:val="Подпись к таблице_"/>
    <w:basedOn w:val="a0"/>
    <w:link w:val="a6"/>
    <w:rPr>
      <w:rFonts w:ascii="Segoe UI" w:eastAsia="Segoe UI" w:hAnsi="Segoe UI" w:cs="Segoe UI"/>
      <w:b w:val="0"/>
      <w:bCs w:val="0"/>
      <w:i w:val="0"/>
      <w:iCs w:val="0"/>
      <w:smallCaps w:val="0"/>
      <w:strike w:val="0"/>
      <w:sz w:val="16"/>
      <w:szCs w:val="16"/>
      <w:u w:val="none"/>
    </w:rPr>
  </w:style>
  <w:style w:type="character" w:customStyle="1" w:styleId="3">
    <w:name w:val="Основной текст (3)_"/>
    <w:basedOn w:val="a0"/>
    <w:link w:val="30"/>
    <w:rPr>
      <w:rFonts w:ascii="Lucida Sans Unicode" w:eastAsia="Lucida Sans Unicode" w:hAnsi="Lucida Sans Unicode" w:cs="Lucida Sans Unicode"/>
      <w:b w:val="0"/>
      <w:bCs w:val="0"/>
      <w:i w:val="0"/>
      <w:iCs w:val="0"/>
      <w:smallCaps w:val="0"/>
      <w:strike w:val="0"/>
      <w:color w:val="131413"/>
      <w:sz w:val="11"/>
      <w:szCs w:val="11"/>
      <w:u w:val="none"/>
    </w:rPr>
  </w:style>
  <w:style w:type="character" w:customStyle="1" w:styleId="1">
    <w:name w:val="Заголовок №1_"/>
    <w:basedOn w:val="a0"/>
    <w:link w:val="10"/>
    <w:rsid w:val="004E6760"/>
    <w:rPr>
      <w:rFonts w:ascii="Times New Roman" w:eastAsia="Calibri" w:hAnsi="Times New Roman" w:cs="Times New Roman"/>
      <w:b/>
      <w:bCs/>
      <w:color w:val="131413"/>
      <w:lang w:bidi="ru-RU"/>
    </w:rPr>
  </w:style>
  <w:style w:type="character" w:customStyle="1" w:styleId="2">
    <w:name w:val="Основной текст (2)_"/>
    <w:basedOn w:val="a0"/>
    <w:link w:val="20"/>
    <w:rsid w:val="00367D06"/>
    <w:rPr>
      <w:rFonts w:ascii="Times New Roman" w:eastAsia="Times New Roman" w:hAnsi="Times New Roman" w:cs="Times New Roman"/>
      <w:color w:val="131413"/>
      <w:sz w:val="20"/>
      <w:szCs w:val="18"/>
      <w:shd w:val="clear" w:color="auto" w:fill="FFFFFF"/>
    </w:rPr>
  </w:style>
  <w:style w:type="character" w:customStyle="1" w:styleId="21">
    <w:name w:val="Заголовок №2_"/>
    <w:basedOn w:val="a0"/>
    <w:link w:val="22"/>
    <w:rsid w:val="00367D06"/>
    <w:rPr>
      <w:rFonts w:ascii="Times New Roman" w:hAnsi="Times New Roman" w:cs="Times New Roman"/>
      <w:b/>
      <w:color w:val="404040" w:themeColor="text1" w:themeTint="BF"/>
      <w:sz w:val="20"/>
      <w:szCs w:val="20"/>
      <w:lang w:bidi="ru-RU"/>
    </w:rPr>
  </w:style>
  <w:style w:type="character" w:customStyle="1" w:styleId="a7">
    <w:name w:val="Подпись к картинке_"/>
    <w:basedOn w:val="a0"/>
    <w:link w:val="a8"/>
    <w:rPr>
      <w:rFonts w:ascii="Times New Roman" w:eastAsia="Times New Roman" w:hAnsi="Times New Roman" w:cs="Times New Roman"/>
      <w:b w:val="0"/>
      <w:bCs w:val="0"/>
      <w:i w:val="0"/>
      <w:iCs w:val="0"/>
      <w:smallCaps w:val="0"/>
      <w:strike w:val="0"/>
      <w:color w:val="131413"/>
      <w:sz w:val="12"/>
      <w:szCs w:val="12"/>
      <w:u w:val="none"/>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b w:val="0"/>
      <w:bCs w:val="0"/>
      <w:i w:val="0"/>
      <w:iCs w:val="0"/>
      <w:smallCaps w:val="0"/>
      <w:strike w:val="0"/>
      <w:sz w:val="13"/>
      <w:szCs w:val="13"/>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color w:val="131413"/>
      <w:sz w:val="14"/>
      <w:szCs w:val="14"/>
      <w:u w:val="none"/>
    </w:rPr>
  </w:style>
  <w:style w:type="paragraph" w:customStyle="1" w:styleId="a4">
    <w:name w:val="Другое"/>
    <w:basedOn w:val="a"/>
    <w:link w:val="a3"/>
    <w:pPr>
      <w:shd w:val="clear" w:color="auto" w:fill="FFFFFF"/>
      <w:spacing w:line="276" w:lineRule="auto"/>
    </w:pPr>
    <w:rPr>
      <w:sz w:val="13"/>
      <w:szCs w:val="13"/>
    </w:rPr>
  </w:style>
  <w:style w:type="paragraph" w:customStyle="1" w:styleId="a6">
    <w:name w:val="Подпись к таблице"/>
    <w:basedOn w:val="a"/>
    <w:link w:val="a5"/>
    <w:pPr>
      <w:shd w:val="clear" w:color="auto" w:fill="FFFFFF"/>
    </w:pPr>
    <w:rPr>
      <w:rFonts w:ascii="Segoe UI" w:eastAsia="Segoe UI" w:hAnsi="Segoe UI" w:cs="Segoe UI"/>
      <w:sz w:val="16"/>
      <w:szCs w:val="16"/>
    </w:rPr>
  </w:style>
  <w:style w:type="paragraph" w:customStyle="1" w:styleId="30">
    <w:name w:val="Основной текст (3)"/>
    <w:basedOn w:val="a"/>
    <w:link w:val="3"/>
    <w:pPr>
      <w:shd w:val="clear" w:color="auto" w:fill="FFFFFF"/>
      <w:spacing w:line="257" w:lineRule="auto"/>
      <w:ind w:left="180"/>
    </w:pPr>
    <w:rPr>
      <w:rFonts w:ascii="Lucida Sans Unicode" w:eastAsia="Lucida Sans Unicode" w:hAnsi="Lucida Sans Unicode" w:cs="Lucida Sans Unicode"/>
      <w:color w:val="131413"/>
      <w:sz w:val="11"/>
      <w:szCs w:val="11"/>
    </w:rPr>
  </w:style>
  <w:style w:type="paragraph" w:customStyle="1" w:styleId="10">
    <w:name w:val="Заголовок №1"/>
    <w:basedOn w:val="a"/>
    <w:link w:val="1"/>
    <w:rsid w:val="004E6760"/>
    <w:pPr>
      <w:keepNext/>
      <w:keepLines/>
      <w:spacing w:before="120"/>
      <w:jc w:val="both"/>
      <w:outlineLvl w:val="0"/>
    </w:pPr>
    <w:rPr>
      <w:rFonts w:eastAsia="Calibri" w:cs="Times New Roman"/>
      <w:b/>
      <w:bCs/>
      <w:color w:val="131413"/>
      <w:sz w:val="24"/>
      <w:lang w:bidi="ru-RU"/>
    </w:rPr>
  </w:style>
  <w:style w:type="paragraph" w:customStyle="1" w:styleId="20">
    <w:name w:val="Основной текст (2)"/>
    <w:basedOn w:val="a"/>
    <w:link w:val="2"/>
    <w:rsid w:val="00367D06"/>
    <w:pPr>
      <w:shd w:val="clear" w:color="auto" w:fill="FFFFFF"/>
      <w:spacing w:line="276" w:lineRule="auto"/>
    </w:pPr>
    <w:rPr>
      <w:rFonts w:eastAsia="Times New Roman" w:cs="Times New Roman"/>
      <w:color w:val="131413"/>
      <w:sz w:val="20"/>
      <w:szCs w:val="18"/>
    </w:rPr>
  </w:style>
  <w:style w:type="paragraph" w:customStyle="1" w:styleId="22">
    <w:name w:val="Заголовок №2"/>
    <w:basedOn w:val="a"/>
    <w:link w:val="21"/>
    <w:rsid w:val="00367D06"/>
    <w:pPr>
      <w:keepNext/>
      <w:keepLines/>
      <w:spacing w:before="120" w:line="295" w:lineRule="auto"/>
      <w:jc w:val="both"/>
      <w:outlineLvl w:val="1"/>
    </w:pPr>
    <w:rPr>
      <w:rFonts w:cs="Times New Roman"/>
      <w:b/>
      <w:color w:val="404040" w:themeColor="text1" w:themeTint="BF"/>
      <w:sz w:val="20"/>
      <w:szCs w:val="20"/>
      <w:lang w:bidi="ru-RU"/>
    </w:rPr>
  </w:style>
  <w:style w:type="paragraph" w:customStyle="1" w:styleId="a8">
    <w:name w:val="Подпись к картинке"/>
    <w:basedOn w:val="a"/>
    <w:link w:val="a7"/>
    <w:pPr>
      <w:shd w:val="clear" w:color="auto" w:fill="FFFFFF"/>
      <w:spacing w:line="266" w:lineRule="auto"/>
    </w:pPr>
    <w:rPr>
      <w:rFonts w:eastAsia="Times New Roman" w:cs="Times New Roman"/>
      <w:color w:val="131413"/>
      <w:sz w:val="12"/>
      <w:szCs w:val="12"/>
    </w:rPr>
  </w:style>
  <w:style w:type="paragraph" w:customStyle="1" w:styleId="aa">
    <w:name w:val="Колонтитул"/>
    <w:basedOn w:val="a"/>
    <w:link w:val="a9"/>
    <w:pPr>
      <w:shd w:val="clear" w:color="auto" w:fill="FFFFFF"/>
    </w:pPr>
    <w:rPr>
      <w:rFonts w:eastAsia="Times New Roman" w:cs="Times New Roman"/>
      <w:sz w:val="20"/>
      <w:szCs w:val="20"/>
    </w:rPr>
  </w:style>
  <w:style w:type="paragraph" w:customStyle="1" w:styleId="40">
    <w:name w:val="Основной текст (4)"/>
    <w:basedOn w:val="a"/>
    <w:link w:val="4"/>
    <w:pPr>
      <w:shd w:val="clear" w:color="auto" w:fill="FFFFFF"/>
      <w:spacing w:line="276" w:lineRule="auto"/>
    </w:pPr>
    <w:rPr>
      <w:sz w:val="13"/>
      <w:szCs w:val="13"/>
    </w:rPr>
  </w:style>
  <w:style w:type="paragraph" w:customStyle="1" w:styleId="50">
    <w:name w:val="Основной текст (5)"/>
    <w:basedOn w:val="a"/>
    <w:link w:val="5"/>
    <w:pPr>
      <w:shd w:val="clear" w:color="auto" w:fill="FFFFFF"/>
      <w:spacing w:line="269" w:lineRule="auto"/>
    </w:pPr>
    <w:rPr>
      <w:rFonts w:eastAsia="Times New Roman" w:cs="Times New Roman"/>
      <w:b/>
      <w:bCs/>
      <w:color w:val="131413"/>
      <w:sz w:val="14"/>
      <w:szCs w:val="14"/>
    </w:rPr>
  </w:style>
  <w:style w:type="paragraph" w:styleId="ab">
    <w:name w:val="Balloon Text"/>
    <w:basedOn w:val="a"/>
    <w:link w:val="ac"/>
    <w:uiPriority w:val="99"/>
    <w:semiHidden/>
    <w:unhideWhenUsed/>
    <w:rsid w:val="00722C17"/>
    <w:rPr>
      <w:rFonts w:ascii="Tahoma" w:hAnsi="Tahoma" w:cs="Tahoma"/>
      <w:sz w:val="16"/>
      <w:szCs w:val="16"/>
    </w:rPr>
  </w:style>
  <w:style w:type="character" w:customStyle="1" w:styleId="ac">
    <w:name w:val="Текст выноски Знак"/>
    <w:basedOn w:val="a0"/>
    <w:link w:val="ab"/>
    <w:uiPriority w:val="99"/>
    <w:semiHidden/>
    <w:rsid w:val="00722C17"/>
    <w:rPr>
      <w:rFonts w:ascii="Tahoma" w:hAnsi="Tahoma" w:cs="Tahoma"/>
      <w:color w:val="000000"/>
      <w:sz w:val="16"/>
      <w:szCs w:val="16"/>
    </w:rPr>
  </w:style>
  <w:style w:type="paragraph" w:styleId="ad">
    <w:name w:val="header"/>
    <w:basedOn w:val="a"/>
    <w:link w:val="ae"/>
    <w:uiPriority w:val="99"/>
    <w:unhideWhenUsed/>
    <w:rsid w:val="00722C17"/>
    <w:pPr>
      <w:tabs>
        <w:tab w:val="center" w:pos="4677"/>
        <w:tab w:val="right" w:pos="9355"/>
      </w:tabs>
    </w:pPr>
  </w:style>
  <w:style w:type="character" w:customStyle="1" w:styleId="ae">
    <w:name w:val="Верхний колонтитул Знак"/>
    <w:basedOn w:val="a0"/>
    <w:link w:val="ad"/>
    <w:uiPriority w:val="99"/>
    <w:rsid w:val="00722C17"/>
    <w:rPr>
      <w:color w:val="000000"/>
    </w:rPr>
  </w:style>
  <w:style w:type="paragraph" w:styleId="af">
    <w:name w:val="footer"/>
    <w:basedOn w:val="a"/>
    <w:link w:val="af0"/>
    <w:uiPriority w:val="99"/>
    <w:unhideWhenUsed/>
    <w:rsid w:val="00722C17"/>
    <w:pPr>
      <w:tabs>
        <w:tab w:val="center" w:pos="4677"/>
        <w:tab w:val="right" w:pos="9355"/>
      </w:tabs>
    </w:pPr>
  </w:style>
  <w:style w:type="character" w:customStyle="1" w:styleId="af0">
    <w:name w:val="Нижний колонтитул Знак"/>
    <w:basedOn w:val="a0"/>
    <w:link w:val="af"/>
    <w:uiPriority w:val="99"/>
    <w:rsid w:val="00722C17"/>
    <w:rPr>
      <w:color w:val="000000"/>
    </w:rPr>
  </w:style>
  <w:style w:type="paragraph" w:styleId="af1">
    <w:name w:val="Normal (Web)"/>
    <w:basedOn w:val="a"/>
    <w:uiPriority w:val="99"/>
    <w:semiHidden/>
    <w:unhideWhenUsed/>
    <w:rsid w:val="00B84D9A"/>
    <w:pPr>
      <w:widowControl/>
      <w:spacing w:before="100" w:beforeAutospacing="1" w:after="100" w:afterAutospacing="1"/>
    </w:pPr>
    <w:rPr>
      <w:rFonts w:eastAsiaTheme="minorEastAsia" w:cs="Times New Roman"/>
      <w:color w:val="auto"/>
      <w:lang w:eastAsia="ru-RU" w:bidi="ar-SA"/>
    </w:rPr>
  </w:style>
  <w:style w:type="character" w:styleId="af2">
    <w:name w:val="Hyperlink"/>
    <w:basedOn w:val="a0"/>
    <w:uiPriority w:val="99"/>
    <w:semiHidden/>
    <w:unhideWhenUsed/>
    <w:rsid w:val="00B84D9A"/>
    <w:rPr>
      <w:color w:val="0000FF"/>
      <w:u w:val="single"/>
    </w:rPr>
  </w:style>
  <w:style w:type="table" w:styleId="af3">
    <w:name w:val="Table Grid"/>
    <w:basedOn w:val="a1"/>
    <w:uiPriority w:val="59"/>
    <w:rsid w:val="00B84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C8426D"/>
    <w:rPr>
      <w:color w:val="808080"/>
    </w:rPr>
  </w:style>
  <w:style w:type="paragraph" w:styleId="af5">
    <w:name w:val="footnote text"/>
    <w:basedOn w:val="a"/>
    <w:link w:val="af6"/>
    <w:uiPriority w:val="99"/>
    <w:semiHidden/>
    <w:unhideWhenUsed/>
    <w:rsid w:val="001168D9"/>
    <w:rPr>
      <w:sz w:val="20"/>
      <w:szCs w:val="20"/>
    </w:rPr>
  </w:style>
  <w:style w:type="character" w:customStyle="1" w:styleId="af6">
    <w:name w:val="Текст сноски Знак"/>
    <w:basedOn w:val="a0"/>
    <w:link w:val="af5"/>
    <w:uiPriority w:val="99"/>
    <w:semiHidden/>
    <w:rsid w:val="001168D9"/>
    <w:rPr>
      <w:color w:val="000000"/>
      <w:sz w:val="20"/>
      <w:szCs w:val="20"/>
    </w:rPr>
  </w:style>
  <w:style w:type="character" w:styleId="af7">
    <w:name w:val="footnote reference"/>
    <w:basedOn w:val="a0"/>
    <w:uiPriority w:val="99"/>
    <w:semiHidden/>
    <w:unhideWhenUsed/>
    <w:rsid w:val="001168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copus.com" TargetMode="External"/><Relationship Id="rId26" Type="http://schemas.openxmlformats.org/officeDocument/2006/relationships/hyperlink" Target="http://scholar.google.com" TargetMode="External"/><Relationship Id="rId39" Type="http://schemas.openxmlformats.org/officeDocument/2006/relationships/image" Target="media/image7.jpeg"/><Relationship Id="rId21" Type="http://schemas.openxmlformats.org/officeDocument/2006/relationships/hyperlink" Target="http://www.ncbi.nlm.nih.gov/pubmed" TargetMode="External"/><Relationship Id="rId34" Type="http://schemas.openxmlformats.org/officeDocument/2006/relationships/header" Target="header4.xml"/><Relationship Id="rId42" Type="http://schemas.openxmlformats.org/officeDocument/2006/relationships/image" Target="media/image10.jpeg"/><Relationship Id="rId47" Type="http://schemas.openxmlformats.org/officeDocument/2006/relationships/hyperlink" Target="http://www.biomedcentral.com/submit"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ncbi.nlm.nih.gov/pubmed" TargetMode="External"/><Relationship Id="rId29" Type="http://schemas.openxmlformats.org/officeDocument/2006/relationships/hyperlink" Target="http://www.elsevier.com/online-tools/embase" TargetMode="External"/><Relationship Id="rId11" Type="http://schemas.openxmlformats.org/officeDocument/2006/relationships/header" Target="header2.xml"/><Relationship Id="rId24" Type="http://schemas.openxmlformats.org/officeDocument/2006/relationships/hyperlink" Target="https://www.scopus.com/" TargetMode="External"/><Relationship Id="rId32" Type="http://schemas.openxmlformats.org/officeDocument/2006/relationships/hyperlink" Target="https://www.scopus.com/"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lsevier.com/online-tools/embase" TargetMode="External"/><Relationship Id="rId28" Type="http://schemas.openxmlformats.org/officeDocument/2006/relationships/hyperlink" Target="http://www.ncbi.nlm.nih.gov/pubmed" TargetMode="External"/><Relationship Id="rId36" Type="http://schemas.openxmlformats.org/officeDocument/2006/relationships/header" Target="header5.xml"/><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cholar.google.com/" TargetMode="External"/><Relationship Id="rId31" Type="http://schemas.openxmlformats.org/officeDocument/2006/relationships/hyperlink" Target="https://www.scopus.com/"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lsevier.com/online-tools/embase" TargetMode="External"/><Relationship Id="rId27" Type="http://schemas.openxmlformats.org/officeDocument/2006/relationships/image" Target="media/image4.jpeg"/><Relationship Id="rId30" Type="http://schemas.openxmlformats.org/officeDocument/2006/relationships/hyperlink" Target="http://www.elsevier.com/online-tools/embase" TargetMode="External"/><Relationship Id="rId35" Type="http://schemas.openxmlformats.org/officeDocument/2006/relationships/footer" Target="footer4.xml"/><Relationship Id="rId43" Type="http://schemas.openxmlformats.org/officeDocument/2006/relationships/image" Target="media/image10.pn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lsevier.com/online-tools/embase" TargetMode="External"/><Relationship Id="rId25" Type="http://schemas.openxmlformats.org/officeDocument/2006/relationships/hyperlink" Target="https://www.scopus.com/" TargetMode="External"/><Relationship Id="rId33" Type="http://schemas.openxmlformats.org/officeDocument/2006/relationships/hyperlink" Target="http://scholar.google.com" TargetMode="External"/><Relationship Id="rId38" Type="http://schemas.openxmlformats.org/officeDocument/2006/relationships/image" Target="media/image6.jpeg"/><Relationship Id="rId46" Type="http://schemas.openxmlformats.org/officeDocument/2006/relationships/image" Target="media/image13.png"/><Relationship Id="rId20" Type="http://schemas.openxmlformats.org/officeDocument/2006/relationships/image" Target="media/image3.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publicdomain/zero/1.0/" TargetMode="External"/><Relationship Id="rId2" Type="http://schemas.openxmlformats.org/officeDocument/2006/relationships/hyperlink" Target="http://creativecommons.org/licenses/by/4.0/" TargetMode="External"/><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kahe@indiana.edu" TargetMode="External"/><Relationship Id="rId1" Type="http://schemas.openxmlformats.org/officeDocument/2006/relationships/hyperlink" Target="mailto:caiw1978@16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05E2-759C-4886-8B43-5B91E3463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8480</Words>
  <Characters>48342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2019-11-05T23:28:00Z</dcterms:created>
  <dcterms:modified xsi:type="dcterms:W3CDTF">2019-11-05T23:28:00Z</dcterms:modified>
</cp:coreProperties>
</file>